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787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233C74" w:rsidRPr="00233C74">
        <w:rPr>
          <w:rFonts w:ascii="Times New Roman" w:hAnsi="Times New Roman" w:cs="Times New Roman"/>
          <w:sz w:val="26"/>
          <w:szCs w:val="26"/>
        </w:rPr>
        <w:t xml:space="preserve">«Обустройство пешеходного тротуара по улице 19 Партсъезда от дома </w:t>
      </w:r>
      <w:r w:rsidR="005F041B">
        <w:rPr>
          <w:rFonts w:ascii="Times New Roman" w:hAnsi="Times New Roman" w:cs="Times New Roman"/>
          <w:sz w:val="26"/>
          <w:szCs w:val="26"/>
        </w:rPr>
        <w:t xml:space="preserve">32 </w:t>
      </w:r>
      <w:r w:rsidR="00233C74" w:rsidRPr="00233C74">
        <w:rPr>
          <w:rFonts w:ascii="Times New Roman" w:hAnsi="Times New Roman" w:cs="Times New Roman"/>
          <w:sz w:val="26"/>
          <w:szCs w:val="26"/>
        </w:rPr>
        <w:t xml:space="preserve">до ул. 7 Ноября в п. Горняк </w:t>
      </w:r>
      <w:proofErr w:type="gramStart"/>
      <w:r w:rsidR="00233C74" w:rsidRPr="00233C7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33C74" w:rsidRPr="00233C74">
        <w:rPr>
          <w:rFonts w:ascii="Times New Roman" w:hAnsi="Times New Roman" w:cs="Times New Roman"/>
          <w:sz w:val="26"/>
          <w:szCs w:val="26"/>
        </w:rPr>
        <w:t>. Копейска Челябинской области»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233C74" w:rsidP="005F0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C74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пешеходного тротуара по улице 19 Партсъезда от дома </w:t>
            </w:r>
            <w:r w:rsidR="005F041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233C74">
              <w:rPr>
                <w:rFonts w:ascii="Times New Roman" w:hAnsi="Times New Roman" w:cs="Times New Roman"/>
                <w:sz w:val="26"/>
                <w:szCs w:val="26"/>
              </w:rPr>
              <w:t xml:space="preserve"> до ул. 7 Ноября в п. Горняк </w:t>
            </w:r>
            <w:proofErr w:type="gramStart"/>
            <w:r w:rsidRPr="00233C7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33C74">
              <w:rPr>
                <w:rFonts w:ascii="Times New Roman" w:hAnsi="Times New Roman" w:cs="Times New Roman"/>
                <w:sz w:val="26"/>
                <w:szCs w:val="26"/>
              </w:rPr>
              <w:t>. Копейска Челябинской области»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Pr="008910DC" w:rsidRDefault="00787D75" w:rsidP="00A6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п. Горняк проживает 14 000 человек. Поликлиника расположена по ул.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Партсъезда, 44 и специалисты обслуживают все взрослое население поселка и прилегающих территорий – п. Вахрушево,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Северный Рудник, 205 и РМЗ (18 348 человек). После перераспределения земельного участка, занимаемого ранее ГБУЗ № 1 г.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Копейска изменилась схема подхода к медицинскому учреждению. В настоящее время работники и пациенты поликлиники вынуждены добираться </w:t>
            </w:r>
            <w:r w:rsidR="00650952">
              <w:rPr>
                <w:rFonts w:ascii="Times New Roman" w:hAnsi="Times New Roman" w:cs="Times New Roman"/>
                <w:sz w:val="26"/>
                <w:szCs w:val="26"/>
              </w:rPr>
              <w:t xml:space="preserve">до социального объекта по узким тропинкам.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04680" w:rsidRPr="00204680" w:rsidRDefault="00650952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части населения, пожилых людей и инвалидов поход в поликлинику – большая проблема. Решение данной проблемы – обустройство тротуара.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3051EA" w:rsidRDefault="00650952" w:rsidP="00A6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комплекса работ по обустройству тротуара обеспечит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комфорт для 18 000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при посещении данного учреждения здравоохранения снизит аварийность на данном участке. Реализация инициативного проекта способствует достижению одной из национальных целей, утвер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>жденных Указом Президента РФ от 21.07.2020 № 474 «О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национальных целях развития Российской Федерации на период до 2030 года» - «Комфортная и безопасная среда для жизни» (п.п. </w:t>
            </w:r>
            <w:r w:rsidR="003051EA" w:rsidRPr="003051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>в» п. 1 Указа)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C76575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57EA">
              <w:rPr>
                <w:rFonts w:ascii="Times New Roman" w:hAnsi="Times New Roman" w:cs="Times New Roman"/>
                <w:sz w:val="26"/>
                <w:szCs w:val="26"/>
              </w:rPr>
              <w:t>3 101 584,69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сроки реализации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91A82" w:rsidRPr="00F457FF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5F04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C76575" w:rsidRPr="00C76575">
              <w:rPr>
                <w:rFonts w:ascii="Times New Roman" w:hAnsi="Times New Roman" w:cs="Times New Roman"/>
                <w:sz w:val="26"/>
                <w:szCs w:val="26"/>
              </w:rPr>
              <w:t xml:space="preserve">от д. </w:t>
            </w:r>
            <w:r w:rsidR="005F041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76575" w:rsidRPr="00C76575">
              <w:rPr>
                <w:rFonts w:ascii="Times New Roman" w:hAnsi="Times New Roman" w:cs="Times New Roman"/>
                <w:sz w:val="26"/>
                <w:szCs w:val="26"/>
              </w:rPr>
              <w:t xml:space="preserve"> по ул.</w:t>
            </w:r>
            <w:r w:rsidR="00C7657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76575" w:rsidRPr="00C7657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7657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76575" w:rsidRPr="00C76575">
              <w:rPr>
                <w:rFonts w:ascii="Times New Roman" w:hAnsi="Times New Roman" w:cs="Times New Roman"/>
                <w:sz w:val="26"/>
                <w:szCs w:val="26"/>
              </w:rPr>
              <w:t>Партсъезда до ул. 7 Ноября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Демьяновна</w:t>
            </w:r>
            <w:proofErr w:type="spellEnd"/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Ольга Валерьевна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Худякова Елена Александровна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Потырина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Стафеева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Петровна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Касимовна</w:t>
            </w:r>
            <w:proofErr w:type="spellEnd"/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Семеновна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  <w:p w:rsidR="00C76575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Книгиницкая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Дмитриевна</w:t>
            </w:r>
          </w:p>
          <w:p w:rsidR="00C76575" w:rsidRPr="00F457FF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5F0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233C74" w:rsidRPr="00233C74">
              <w:rPr>
                <w:rFonts w:ascii="Times New Roman" w:hAnsi="Times New Roman" w:cs="Times New Roman"/>
                <w:sz w:val="26"/>
                <w:szCs w:val="26"/>
              </w:rPr>
              <w:t xml:space="preserve">«Обустройство пешеходного тротуара по улице 19 Партсъезда от дома </w:t>
            </w:r>
            <w:r w:rsidR="005F041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233C74" w:rsidRPr="00233C74">
              <w:rPr>
                <w:rFonts w:ascii="Times New Roman" w:hAnsi="Times New Roman" w:cs="Times New Roman"/>
                <w:sz w:val="26"/>
                <w:szCs w:val="26"/>
              </w:rPr>
              <w:t xml:space="preserve"> до ул. 7 Ноября в п. Горняк </w:t>
            </w:r>
            <w:proofErr w:type="gramStart"/>
            <w:r w:rsidR="00233C74" w:rsidRPr="00233C7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233C74" w:rsidRPr="00233C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3C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33C74" w:rsidRPr="00233C74">
              <w:rPr>
                <w:rFonts w:ascii="Times New Roman" w:hAnsi="Times New Roman" w:cs="Times New Roman"/>
                <w:sz w:val="26"/>
                <w:szCs w:val="26"/>
              </w:rPr>
              <w:t>Копейска Челябинской области»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76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76575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204680"/>
    <w:rsid w:val="00233C74"/>
    <w:rsid w:val="00235F49"/>
    <w:rsid w:val="002443C0"/>
    <w:rsid w:val="002C63B9"/>
    <w:rsid w:val="003051EA"/>
    <w:rsid w:val="00393529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96D11"/>
    <w:rsid w:val="005A2BCA"/>
    <w:rsid w:val="005D352B"/>
    <w:rsid w:val="005F041B"/>
    <w:rsid w:val="0064329E"/>
    <w:rsid w:val="00650952"/>
    <w:rsid w:val="00651DA4"/>
    <w:rsid w:val="00682E4D"/>
    <w:rsid w:val="006B256A"/>
    <w:rsid w:val="006B2B9A"/>
    <w:rsid w:val="00737222"/>
    <w:rsid w:val="00740873"/>
    <w:rsid w:val="00740EE8"/>
    <w:rsid w:val="00787D75"/>
    <w:rsid w:val="007904A5"/>
    <w:rsid w:val="0083211C"/>
    <w:rsid w:val="008910DC"/>
    <w:rsid w:val="008F76E9"/>
    <w:rsid w:val="00993308"/>
    <w:rsid w:val="00A23F88"/>
    <w:rsid w:val="00A2714F"/>
    <w:rsid w:val="00A64939"/>
    <w:rsid w:val="00A813DF"/>
    <w:rsid w:val="00AA3634"/>
    <w:rsid w:val="00B2222E"/>
    <w:rsid w:val="00B2638D"/>
    <w:rsid w:val="00B87AE6"/>
    <w:rsid w:val="00B87BC8"/>
    <w:rsid w:val="00BC07AD"/>
    <w:rsid w:val="00BE3EFA"/>
    <w:rsid w:val="00C278F6"/>
    <w:rsid w:val="00C61921"/>
    <w:rsid w:val="00C76575"/>
    <w:rsid w:val="00CA722C"/>
    <w:rsid w:val="00CB6ECA"/>
    <w:rsid w:val="00CC1387"/>
    <w:rsid w:val="00CE1541"/>
    <w:rsid w:val="00CF5A62"/>
    <w:rsid w:val="00D011C3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748A-49D9-48CB-A18A-4182FFE0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6</cp:revision>
  <dcterms:created xsi:type="dcterms:W3CDTF">2024-10-04T05:49:00Z</dcterms:created>
  <dcterms:modified xsi:type="dcterms:W3CDTF">2024-11-21T08:43:00Z</dcterms:modified>
</cp:coreProperties>
</file>