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ind w:left="567"/>
        <w:jc w:val="center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публичных консультаций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left="567"/>
        <w:jc w:val="center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Доклада о достижении целей введения обязательных требований содержащихся в Правилах благоустройства территории Копейского городского округа Челябинской области за 2025 год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left="567"/>
        <w:jc w:val="center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left="567"/>
        <w:jc w:val="center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Настоящим правовое управление администрации Копейского городского округа в лице отдела контроля правового управления (далее - отдел) извещает о начале сбора предложений заинтересованных лиц.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принимаются по адресу: г. Корпейск, ул. Ленина,                       д. 52, каб. 309, а также по адресу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o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k</w:t>
      </w:r>
      <w:r>
        <w:rPr>
          <w:rFonts w:ascii="Times New Roman" w:hAnsi="Times New Roman" w:cs="Times New Roman"/>
          <w:sz w:val="28"/>
          <w:szCs w:val="28"/>
        </w:rPr>
        <w:t xml:space="preserve">o</w:t>
      </w:r>
      <w:r>
        <w:rPr>
          <w:rFonts w:ascii="Times New Roman" w:hAnsi="Times New Roman" w:cs="Times New Roman"/>
          <w:sz w:val="28"/>
          <w:szCs w:val="28"/>
        </w:rPr>
        <w:t xml:space="preserve">n</w:t>
      </w:r>
      <w:r>
        <w:rPr>
          <w:rFonts w:ascii="Times New Roman" w:hAnsi="Times New Roman" w:cs="Times New Roman"/>
          <w:sz w:val="28"/>
          <w:szCs w:val="28"/>
        </w:rPr>
        <w:t xml:space="preserve">t</w:t>
      </w:r>
      <w:r>
        <w:rPr>
          <w:rFonts w:ascii="Times New Roman" w:hAnsi="Times New Roman" w:cs="Times New Roman"/>
          <w:sz w:val="28"/>
          <w:szCs w:val="28"/>
        </w:rPr>
        <w:t xml:space="preserve">r</w:t>
      </w:r>
      <w:r>
        <w:rPr>
          <w:rFonts w:ascii="Times New Roman" w:hAnsi="Times New Roman" w:cs="Times New Roman"/>
          <w:sz w:val="28"/>
          <w:szCs w:val="28"/>
        </w:rPr>
        <w:t xml:space="preserve">o</w:t>
      </w:r>
      <w:r>
        <w:rPr>
          <w:rFonts w:ascii="Times New Roman" w:hAnsi="Times New Roman" w:cs="Times New Roman"/>
          <w:sz w:val="28"/>
          <w:szCs w:val="28"/>
        </w:rPr>
        <w:t xml:space="preserve">l</w:t>
      </w:r>
      <w:r>
        <w:rPr>
          <w:rFonts w:ascii="Times New Roman" w:hAnsi="Times New Roman" w:cs="Times New Roman"/>
          <w:sz w:val="28"/>
          <w:szCs w:val="28"/>
        </w:rPr>
        <w:t xml:space="preserve">@</w:t>
      </w:r>
      <w:r>
        <w:rPr>
          <w:rFonts w:ascii="Times New Roman" w:hAnsi="Times New Roman" w:cs="Times New Roman"/>
          <w:sz w:val="28"/>
          <w:szCs w:val="28"/>
        </w:rPr>
        <w:t xml:space="preserve">a</w:t>
      </w:r>
      <w:r>
        <w:rPr>
          <w:rFonts w:ascii="Times New Roman" w:hAnsi="Times New Roman" w:cs="Times New Roman"/>
          <w:sz w:val="28"/>
          <w:szCs w:val="28"/>
        </w:rPr>
        <w:t xml:space="preserve">k</w:t>
      </w:r>
      <w:r>
        <w:rPr>
          <w:rFonts w:ascii="Times New Roman" w:hAnsi="Times New Roman" w:cs="Times New Roman"/>
          <w:sz w:val="28"/>
          <w:szCs w:val="28"/>
        </w:rPr>
        <w:t xml:space="preserve">g</w:t>
      </w:r>
      <w:r>
        <w:rPr>
          <w:rFonts w:ascii="Times New Roman" w:hAnsi="Times New Roman" w:cs="Times New Roman"/>
          <w:sz w:val="28"/>
          <w:szCs w:val="28"/>
        </w:rPr>
        <w:t xml:space="preserve">o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r</w:t>
      </w:r>
      <w:r>
        <w:rPr>
          <w:rFonts w:ascii="Times New Roman" w:hAnsi="Times New Roman" w:cs="Times New Roman"/>
          <w:sz w:val="28"/>
          <w:szCs w:val="28"/>
        </w:rPr>
        <w:t xml:space="preserve">u</w:t>
      </w:r>
      <w:r>
        <w:rPr>
          <w:rStyle w:val="655"/>
          <w:rFonts w:ascii="Times New Roman" w:hAnsi="Times New Roman" w:cs="Times New Roman"/>
          <w:sz w:val="28"/>
          <w:szCs w:val="28"/>
          <w:u w:val="none"/>
          <w:lang w:val="en-US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приема предложений: 01.1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.2025 г. – 3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.2025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размещения уведомления о проведении публичных консультаций        в информационно-телекоммуникационной сети «Интернет»: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55"/>
          <w:rFonts w:ascii="Times New Roman" w:hAnsi="Times New Roman" w:cs="Times New Roman"/>
          <w:sz w:val="28"/>
          <w:szCs w:val="28"/>
        </w:rPr>
      </w:r>
      <w:r>
        <w:rPr>
          <w:rStyle w:val="655"/>
          <w:rFonts w:ascii="Times New Roman" w:hAnsi="Times New Roman" w:cs="Times New Roman"/>
          <w:sz w:val="28"/>
          <w:szCs w:val="28"/>
        </w:rPr>
        <w:t xml:space="preserve">https://akgo74.ru/administratsiya/otsenka-reguliruyushchego-vozdeystviya/otsenka-primeneniya-obyazatelnykh-trebovaniy/publichnye-konsultatsii/index.php</w:t>
      </w:r>
      <w:r>
        <w:rPr>
          <w:rStyle w:val="655"/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не позднее 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.2025 г. на сайте: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55"/>
          <w:rFonts w:ascii="Times New Roman" w:hAnsi="Times New Roman" w:cs="Times New Roman"/>
          <w:sz w:val="28"/>
          <w:szCs w:val="28"/>
        </w:rPr>
      </w:r>
      <w:r>
        <w:rPr>
          <w:rStyle w:val="655"/>
          <w:rFonts w:ascii="Times New Roman" w:hAnsi="Times New Roman" w:cs="Times New Roman"/>
          <w:sz w:val="28"/>
          <w:szCs w:val="28"/>
        </w:rPr>
        <w:t xml:space="preserve">https://akgo74.ru/administratsiya/otsenka-reguliruyushchego-vozdeystviya/otsenka-primeneniya-obyazatelnykh-trebovaniy/predlozheniya-postupivshie-v-khode-publichnykh-konsultatsiy/Справка%20к%20заключению.pdf</w:t>
      </w:r>
      <w:r>
        <w:rPr>
          <w:rStyle w:val="655"/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firstLine="708"/>
        <w:jc w:val="both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проблемы, на решение которой направлено предлагаемое правовое регулирование:</w:t>
      </w:r>
      <w:r>
        <w:rPr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pStyle w:val="653"/>
        <w:contextualSpacing/>
        <w:ind w:left="0" w:right="-2" w:firstLine="709"/>
        <w:jc w:val="both"/>
        <w:spacing w:line="233" w:lineRule="auto"/>
        <w:tabs>
          <w:tab w:val="clear" w:pos="708" w:leader="none"/>
          <w:tab w:val="left" w:pos="9496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Настоящий доклад разработан в соответствии с Федеральным законом от       31 июля 2020 года № 247-ФЗ «Об обязательных требованиях в Российской Федерации» (далее – ФЗ № 247), постановлени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Копейского городского округа Челябинской области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— Администрация, городской округ)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 03.12.2024 № 3721-п «Об утверждении Порядка установления и оценки применения содержащихся в нормативных правовых актах обязательных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требований, связанных с осуществлением предпринимательской деятельности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разрешений»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653"/>
        <w:contextualSpacing/>
        <w:ind w:left="0" w:right="-2" w:firstLine="709"/>
        <w:jc w:val="both"/>
        <w:spacing w:line="233" w:lineRule="auto"/>
        <w:tabs>
          <w:tab w:val="clear" w:pos="708" w:leader="none"/>
          <w:tab w:val="left" w:pos="9214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Указанный доклад рассматривает достижение целей введения обязательных требований, предусмотренных Правилами благоустройства территории  городского округа, утвержденными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ешением Собрания депутатов городского округа от 03.07.2020 № 897-МО «Об утверждении Правил благоустройства территории Копейского городского округа» (далее – Правила благоустройства).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pStyle w:val="653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pStyle w:val="664"/>
        <w:numPr>
          <w:ilvl w:val="0"/>
          <w:numId w:val="2"/>
        </w:numPr>
        <w:contextualSpacing/>
        <w:ind w:left="0" w:firstLine="709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предлагаемого правового регулирования:</w:t>
      </w:r>
      <w:r>
        <w:rPr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r>
    </w:p>
    <w:p>
      <w:pPr>
        <w:ind w:left="0" w:right="0" w:firstLine="540"/>
        <w:jc w:val="both"/>
        <w:spacing w:before="0" w:after="0" w:line="24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упорядочение публично-правовых отношений по обеспечению и повышению комфортности условий проживания граждан,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целях защиты жизни, здоров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ья людей, нравственности, прав и законных интересов граждан и организаций, непричинения вреда (ущерба) животным, растениям, окружающей среде, обороне страны и безопасности государства, объектам культурного наследия, защиты иных охраняемых законом ценностей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653"/>
        <w:ind w:left="0" w:right="0" w:firstLine="540"/>
        <w:jc w:val="both"/>
        <w:spacing w:before="0" w:after="0" w:line="24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Соблюдение обязательных требований влияет на снижение (устранение)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риска причинения вреда (ущерба) в рамках осуществления муниципального контроля в сфере благоустройства, в том числе приводит к умен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ьшению (отсутствию)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городского округа,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поддержанию и улучшению санитарного и эстетического состояния территории, </w:t>
      </w:r>
      <w:r>
        <w:rPr>
          <w:rFonts w:ascii="Times New Roman" w:hAnsi="Times New Roman" w:cs="Times New Roman"/>
          <w:sz w:val="28"/>
          <w:szCs w:val="28"/>
        </w:rPr>
        <w:t xml:space="preserve">снижение (устранение) рисков причинения вреда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pStyle w:val="664"/>
        <w:numPr>
          <w:ilvl w:val="0"/>
          <w:numId w:val="2"/>
        </w:numPr>
        <w:ind w:left="0" w:firstLine="709"/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результат, выраженный установленными разработчиком показателями, предлагаемого правового регулирования: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53"/>
        <w:ind w:left="0" w:right="0" w:firstLine="540"/>
        <w:jc w:val="both"/>
        <w:spacing w:before="0" w:after="0" w:line="242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Соблюдение обязательных требований влияет на снижение (устранение)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риска причинения вреда (ущерба) в рамках осуществления муниципального контроля в сфере благоустройства, в том числе приводит к умен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шению (отсутствию)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городского округа,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поддержанию и улучшению санитарного и эстетического состояния территории, </w:t>
      </w:r>
      <w:r>
        <w:rPr>
          <w:rFonts w:ascii="Times New Roman" w:hAnsi="Times New Roman" w:cs="Times New Roman"/>
          <w:sz w:val="28"/>
          <w:szCs w:val="28"/>
        </w:rPr>
        <w:t xml:space="preserve">снижение (устранение) рисков причинения вреда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0" w:line="24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64"/>
        <w:numPr>
          <w:ilvl w:val="0"/>
          <w:numId w:val="2"/>
        </w:numPr>
        <w:ind w:left="0" w:firstLine="709"/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</w:t>
      </w:r>
      <w:r>
        <w:rPr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Федеральными законами от 06 октября 2003 года           № 131-ФЗ «Об общих принципах организации местного самоуправления в Российской фе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дерации», от 20 марта 2025 года № 33-ФЗ «Об общих принципах организации местного самоуправления в единой системе публичной власти» к вопросам местного значения относится утверждение правил благоустройства территории городского округа, осуществление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муниципального контроля в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сфере благоустройства, предметом которого является соблюдение правил благоустройства территории муниципального образования, в том числе требований к обеспечению доступности для инвалидов объектов социальной, инженерной и транспортной инфраструктур и предос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тавляемых услуг (при осуществлении муниципального контроля в сфере благоустройства может выдаваться предписание об устранении нарушений обязательных требований, выявленных в ходе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наблюден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ия за соблюдением обязательных требований (мониторинга безопасности).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рамк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ах Федерального закона от 31 июля 2020 года № 248-ФЗ «О государственном контроле (надзоре) и муниципальном контроле в Российской Федерации» (далее – Закон № 248-ФЗ) понимается деятельность контрольных (надзорных) органов, направленная на предупреждение, вы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явление и пресечение нарушений обязательных требований, осуществляемая в пределах полномочий отдела контроля правового управления администрации округа посредством профилактики нарушений обязательных требований, оценки соблюдения гражданами и организациями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авшего до возникновения таких нарушений.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pStyle w:val="664"/>
        <w:numPr>
          <w:ilvl w:val="0"/>
          <w:numId w:val="2"/>
        </w:numPr>
        <w:ind w:left="142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Планируемый срок вступления в силу предлагаемого правового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firstLine="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действующий нормативный правовой 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4"/>
        <w:numPr>
          <w:ilvl w:val="0"/>
          <w:numId w:val="2"/>
        </w:numPr>
        <w:ind w:left="72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необходимости или отсутствии необходимости установления переходного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left="720" w:firstLine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переходный период не требуется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pStyle w:val="664"/>
        <w:numPr>
          <w:ilvl w:val="0"/>
          <w:numId w:val="2"/>
        </w:numPr>
        <w:contextualSpacing/>
        <w:ind w:left="720" w:hanging="11"/>
        <w:jc w:val="both"/>
        <w:spacing w:before="0"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Сравнения возможных вариантов решения проблемы: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720" w:firstLine="0"/>
        <w:jc w:val="both"/>
        <w:spacing w:before="0"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отсутствуют.</w:t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664"/>
        <w:contextualSpacing/>
        <w:ind w:left="720" w:hanging="11"/>
        <w:jc w:val="both"/>
        <w:spacing w:before="0" w:after="200" w:line="240" w:lineRule="auto"/>
        <w:rPr>
          <w:rFonts w:ascii="Times New Roman" w:hAnsi="Times New Roman" w:cs="Times New Roman"/>
          <w:sz w:val="28"/>
          <w:szCs w:val="28"/>
        </w:rPr>
      </w:pPr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664"/>
        <w:contextualSpacing/>
        <w:ind w:left="720" w:hanging="11"/>
        <w:jc w:val="both"/>
        <w:spacing w:before="0" w:after="200" w:line="240" w:lineRule="auto"/>
        <w:rPr>
          <w:rFonts w:ascii="Times New Roman" w:hAnsi="Times New Roman" w:cs="Times New Roman"/>
          <w:sz w:val="28"/>
          <w:szCs w:val="28"/>
        </w:rPr>
      </w:pPr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664"/>
        <w:contextualSpacing/>
        <w:ind w:left="720" w:hanging="11"/>
        <w:jc w:val="both"/>
        <w:spacing w:before="0"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4"/>
        <w:contextualSpacing/>
        <w:ind w:left="720" w:hanging="11"/>
        <w:jc w:val="both"/>
        <w:spacing w:before="0" w:after="200" w:line="240" w:lineRule="auto"/>
        <w:rPr>
          <w:rFonts w:ascii="Times New Roman" w:hAnsi="Times New Roman" w:cs="Times New Roman"/>
          <w:sz w:val="28"/>
          <w:szCs w:val="28"/>
        </w:rPr>
      </w:pPr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664"/>
        <w:contextualSpacing/>
        <w:ind w:left="720" w:hanging="11"/>
        <w:jc w:val="both"/>
        <w:spacing w:before="0"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доклад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4"/>
        <w:contextualSpacing/>
        <w:ind w:left="720" w:hanging="11"/>
        <w:jc w:val="both"/>
        <w:spacing w:before="0" w:after="200" w:line="240" w:lineRule="auto"/>
        <w:rPr>
          <w:rFonts w:ascii="Times New Roman" w:hAnsi="Times New Roman" w:cs="Times New Roman"/>
          <w:sz w:val="28"/>
          <w:szCs w:val="28"/>
        </w:rPr>
      </w:pPr>
      <w:r/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851" w:right="851" w:bottom="709" w:left="1418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ohit Devanagari"/>
  <w:font w:name="Tahoma">
    <w:panose1 w:val="020B0604030504040204"/>
  </w:font>
  <w:font w:name="Noto Sans Devanagari">
    <w:panose1 w:val="020B0502040504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7"/>
      <w:jc w:val="center"/>
    </w:pPr>
    <w:r/>
    <w:r/>
  </w:p>
  <w:p>
    <w:pPr>
      <w:pStyle w:val="667"/>
      <w:jc w:val="center"/>
    </w:pPr>
    <w:r/>
    <w:r/>
  </w:p>
  <w:sdt>
    <w:sdtPr>
      <w15:appearance w15:val="boundingBox"/>
      <w:docPartObj>
        <w:docPartGallery w:val="Page Numbers (Top of Page)"/>
        <w:docPartUnique w:val="true"/>
      </w:docPartObj>
      <w:rPr/>
    </w:sdtPr>
    <w:sdtContent>
      <w:p>
        <w:pPr>
          <w:pStyle w:val="667"/>
          <w:jc w:val="center"/>
          <w:rPr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sz w:val="24"/>
            <w:szCs w:val="24"/>
          </w:rPr>
        </w:r>
      </w:p>
      <w:p>
        <w:pPr>
          <w:pStyle w:val="667"/>
        </w:pPr>
        <w:r/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cs="Times New Roman"/>
        <w:b/>
        <w:i w:val="0"/>
        <w:color w:val="auto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4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4"/>
    <w:link w:val="667"/>
    <w:uiPriority w:val="99"/>
  </w:style>
  <w:style w:type="character" w:styleId="45">
    <w:name w:val="Footer Char"/>
    <w:basedOn w:val="654"/>
    <w:link w:val="668"/>
    <w:uiPriority w:val="99"/>
  </w:style>
  <w:style w:type="character" w:styleId="47">
    <w:name w:val="Caption Char"/>
    <w:basedOn w:val="654"/>
    <w:link w:val="661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4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654" w:default="1">
    <w:name w:val="Default Paragraph Font"/>
    <w:uiPriority w:val="1"/>
    <w:unhideWhenUsed/>
    <w:qFormat/>
  </w:style>
  <w:style w:type="character" w:styleId="655">
    <w:name w:val="Hyperlink"/>
    <w:basedOn w:val="654"/>
    <w:uiPriority w:val="99"/>
    <w:unhideWhenUsed/>
    <w:rPr>
      <w:color w:val="0000ff" w:themeColor="hyperlink"/>
      <w:u w:val="single"/>
    </w:rPr>
  </w:style>
  <w:style w:type="character" w:styleId="656" w:customStyle="1">
    <w:name w:val="Верхний колонтитул Знак"/>
    <w:basedOn w:val="654"/>
    <w:uiPriority w:val="99"/>
    <w:qFormat/>
    <w:rPr>
      <w:sz w:val="22"/>
    </w:rPr>
  </w:style>
  <w:style w:type="character" w:styleId="657" w:customStyle="1">
    <w:name w:val="Нижний колонтитул Знак"/>
    <w:basedOn w:val="654"/>
    <w:uiPriority w:val="99"/>
    <w:qFormat/>
    <w:rPr>
      <w:sz w:val="22"/>
    </w:rPr>
  </w:style>
  <w:style w:type="paragraph" w:styleId="658" w:customStyle="1">
    <w:name w:val="Заголовок"/>
    <w:basedOn w:val="653"/>
    <w:next w:val="659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659">
    <w:name w:val="Body Text"/>
    <w:basedOn w:val="653"/>
    <w:pPr>
      <w:spacing w:before="0" w:after="140"/>
    </w:pPr>
  </w:style>
  <w:style w:type="paragraph" w:styleId="660">
    <w:name w:val="List"/>
    <w:basedOn w:val="659"/>
    <w:rPr>
      <w:rFonts w:cs="Noto Sans Devanagari"/>
    </w:rPr>
  </w:style>
  <w:style w:type="paragraph" w:styleId="661" w:customStyle="1">
    <w:name w:val="Caption"/>
    <w:basedOn w:val="653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662">
    <w:name w:val="Указатель"/>
    <w:basedOn w:val="653"/>
    <w:qFormat/>
    <w:pPr>
      <w:suppressLineNumbers/>
    </w:pPr>
    <w:rPr>
      <w:rFonts w:cs="Lohit Devanagari"/>
    </w:rPr>
  </w:style>
  <w:style w:type="paragraph" w:styleId="663">
    <w:name w:val="index heading"/>
    <w:basedOn w:val="653"/>
    <w:qFormat/>
    <w:pPr>
      <w:suppressLineNumbers/>
    </w:pPr>
    <w:rPr>
      <w:rFonts w:cs="Noto Sans Devanagari"/>
    </w:rPr>
  </w:style>
  <w:style w:type="paragraph" w:styleId="664">
    <w:name w:val="List Paragraph"/>
    <w:basedOn w:val="653"/>
    <w:uiPriority w:val="34"/>
    <w:qFormat/>
    <w:pPr>
      <w:contextualSpacing/>
      <w:ind w:left="720"/>
      <w:spacing w:before="0" w:after="200"/>
    </w:pPr>
  </w:style>
  <w:style w:type="paragraph" w:styleId="665" w:customStyle="1">
    <w:name w:val="ConsPlusNormal"/>
    <w:qFormat/>
    <w:pPr>
      <w:jc w:val="left"/>
      <w:spacing w:before="0" w:after="0"/>
      <w:widowControl w:val="off"/>
    </w:pPr>
    <w:rPr>
      <w:rFonts w:ascii="Calibri" w:hAnsi="Calibri" w:cs="Calibri" w:eastAsiaTheme="minorEastAsia"/>
      <w:color w:val="auto"/>
      <w:sz w:val="22"/>
      <w:szCs w:val="22"/>
      <w:lang w:val="ru-RU" w:eastAsia="ru-RU" w:bidi="ar-SA"/>
    </w:rPr>
  </w:style>
  <w:style w:type="paragraph" w:styleId="666">
    <w:name w:val="Колонтитул"/>
    <w:basedOn w:val="653"/>
    <w:qFormat/>
  </w:style>
  <w:style w:type="paragraph" w:styleId="667">
    <w:name w:val="Header"/>
    <w:basedOn w:val="653"/>
    <w:link w:val="656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668">
    <w:name w:val="Footer"/>
    <w:basedOn w:val="653"/>
    <w:link w:val="657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numbering" w:styleId="669" w:default="1">
    <w:name w:val="No List"/>
    <w:uiPriority w:val="99"/>
    <w:semiHidden/>
    <w:unhideWhenUsed/>
    <w:qFormat/>
  </w:style>
  <w:style w:type="table" w:styleId="670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Пасюта Елена Анатольевна</dc:creator>
  <dc:description/>
  <dc:language>ru-RU</dc:language>
  <cp:lastModifiedBy>Русакова</cp:lastModifiedBy>
  <cp:revision>33</cp:revision>
  <dcterms:created xsi:type="dcterms:W3CDTF">2023-09-15T11:24:00Z</dcterms:created>
  <dcterms:modified xsi:type="dcterms:W3CDTF">2025-10-30T09:56:23Z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