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Челябинской области от 21.07.2025 N 571-П</w:t>
              <w:br/>
              <w:t xml:space="preserve">"О Положении о муниципальном контроле на автомобильном транспорте, городском наземном электрическом транспорте и в дорожном хозяйстве и признании утратившими силу некоторых постановлений Правительства Челябинской области"</w:t>
              <w:br/>
              <w:t xml:space="preserve">(вместе с "Положением о муниципальном контроле на автомобильном транспорте, городском наземном электрическом транспорте и в дорожном хозяйстве")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16.01.2026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ЧЕЛЯБИНСКОЙ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21 июля 2025 г. N 571-П</w:t>
      </w:r>
    </w:p>
    <w:p>
      <w:pPr>
        <w:pStyle w:val="2"/>
        <w:jc w:val="both"/>
      </w:pPr>
      <w:r>
        <w:rPr>
          <w:sz w:val="24"/>
        </w:rPr>
      </w:r>
    </w:p>
    <w:p>
      <w:pPr>
        <w:pStyle w:val="2"/>
        <w:jc w:val="center"/>
      </w:pPr>
      <w:r>
        <w:rPr>
          <w:sz w:val="24"/>
        </w:rPr>
        <w:t xml:space="preserve">О Положении о муниципальном контроле на автомобильном</w:t>
      </w:r>
    </w:p>
    <w:p>
      <w:pPr>
        <w:pStyle w:val="2"/>
        <w:jc w:val="center"/>
      </w:pPr>
      <w:r>
        <w:rPr>
          <w:sz w:val="24"/>
        </w:rPr>
        <w:t xml:space="preserve">транспорте, городском наземном электрическом транспорте</w:t>
      </w:r>
    </w:p>
    <w:p>
      <w:pPr>
        <w:pStyle w:val="2"/>
        <w:jc w:val="center"/>
      </w:pPr>
      <w:r>
        <w:rPr>
          <w:sz w:val="24"/>
        </w:rPr>
        <w:t xml:space="preserve">и в дорожном хозяйстве и признании утратившими силу</w:t>
      </w:r>
    </w:p>
    <w:p>
      <w:pPr>
        <w:pStyle w:val="2"/>
        <w:jc w:val="center"/>
      </w:pPr>
      <w:r>
        <w:rPr>
          <w:sz w:val="24"/>
        </w:rPr>
        <w:t xml:space="preserve">некоторых постановлений Правительства Челябинской области</w:t>
      </w:r>
    </w:p>
    <w:p>
      <w:pPr>
        <w:pStyle w:val="0"/>
        <w:jc w:val="both"/>
      </w:pPr>
      <w:r>
        <w:rPr>
          <w:sz w:val="24"/>
        </w:rPr>
      </w:r>
    </w:p>
    <w:p>
      <w:pPr>
        <w:pStyle w:val="0"/>
        <w:ind w:firstLine="540"/>
        <w:jc w:val="both"/>
      </w:pPr>
      <w:r>
        <w:rPr>
          <w:sz w:val="24"/>
        </w:rPr>
        <w:t xml:space="preserve">Правительство Челябинской области</w:t>
      </w:r>
    </w:p>
    <w:p>
      <w:pPr>
        <w:pStyle w:val="0"/>
        <w:spacing w:before="240" w:lineRule="auto"/>
        <w:ind w:firstLine="540"/>
        <w:jc w:val="both"/>
      </w:pPr>
      <w:r>
        <w:rPr>
          <w:sz w:val="24"/>
        </w:rPr>
        <w:t xml:space="preserve">ПОСТАНОВЛЯЕТ:</w:t>
      </w:r>
    </w:p>
    <w:p>
      <w:pPr>
        <w:pStyle w:val="0"/>
        <w:jc w:val="both"/>
      </w:pPr>
      <w:r>
        <w:rPr>
          <w:sz w:val="24"/>
        </w:rPr>
      </w:r>
    </w:p>
    <w:p>
      <w:pPr>
        <w:pStyle w:val="0"/>
        <w:ind w:firstLine="540"/>
        <w:jc w:val="both"/>
      </w:pPr>
      <w:r>
        <w:rPr>
          <w:sz w:val="24"/>
        </w:rPr>
        <w:t xml:space="preserve">1. Утвердить прилагаемое </w:t>
      </w:r>
      <w:hyperlink w:history="0" w:anchor="P38" w:tooltip="Положение">
        <w:r>
          <w:rPr>
            <w:sz w:val="24"/>
            <w:color w:val="0000ff"/>
          </w:rPr>
          <w:t xml:space="preserve">Положение</w:t>
        </w:r>
      </w:hyperlink>
      <w:r>
        <w:rPr>
          <w:sz w:val="24"/>
        </w:rPr>
        <w:t xml:space="preserve"> о муниципальном контроле на автомобильном транспорте, городском наземном электрическом транспорте и в дорожном хозяйстве.</w:t>
      </w:r>
    </w:p>
    <w:p>
      <w:pPr>
        <w:pStyle w:val="0"/>
        <w:jc w:val="both"/>
      </w:pPr>
      <w:r>
        <w:rPr>
          <w:sz w:val="24"/>
        </w:rPr>
      </w:r>
    </w:p>
    <w:p>
      <w:pPr>
        <w:pStyle w:val="0"/>
        <w:ind w:firstLine="540"/>
        <w:jc w:val="both"/>
      </w:pPr>
      <w:r>
        <w:rPr>
          <w:sz w:val="24"/>
        </w:rPr>
        <w:t xml:space="preserve">2. Признать утратившими силу:</w:t>
      </w:r>
    </w:p>
    <w:p>
      <w:pPr>
        <w:pStyle w:val="0"/>
        <w:spacing w:before="240" w:lineRule="auto"/>
        <w:ind w:firstLine="540"/>
        <w:jc w:val="both"/>
      </w:pPr>
      <w:r>
        <w:rPr>
          <w:sz w:val="24"/>
        </w:rPr>
        <w:t xml:space="preserve">1) </w:t>
      </w:r>
      <w:r>
        <w:rPr>
          <w:sz w:val="24"/>
        </w:rPr>
        <w:t xml:space="preserve">постановление</w:t>
      </w:r>
      <w:r>
        <w:rPr>
          <w:sz w:val="24"/>
        </w:rPr>
        <w:t xml:space="preserve"> Правительства Челябинской области от 17.02.2022 г. N 75-П "О Положении о муниципальном контроле на автомобильном транспорте, городском наземном электрическом транспорте и в дорожном хозяйстве" (Официальный интернет-портал правовой информации (</w:t>
      </w:r>
      <w:hyperlink w:history="0" r:id="rId8">
        <w:r>
          <w:rPr>
            <w:sz w:val="24"/>
            <w:color w:val="0000ff"/>
          </w:rPr>
          <w:t xml:space="preserve">www.pravo.gov.ru</w:t>
        </w:r>
      </w:hyperlink>
      <w:r>
        <w:rPr>
          <w:sz w:val="24"/>
        </w:rPr>
        <w:t xml:space="preserve">), 18 февраля 2022 г.);</w:t>
      </w:r>
    </w:p>
    <w:p>
      <w:pPr>
        <w:pStyle w:val="0"/>
        <w:spacing w:before="240" w:lineRule="auto"/>
        <w:ind w:firstLine="540"/>
        <w:jc w:val="both"/>
      </w:pPr>
      <w:r>
        <w:rPr>
          <w:sz w:val="24"/>
        </w:rPr>
        <w:t xml:space="preserve">2) </w:t>
      </w:r>
      <w:r>
        <w:rPr>
          <w:sz w:val="24"/>
        </w:rPr>
        <w:t xml:space="preserve">постановление</w:t>
      </w:r>
      <w:r>
        <w:rPr>
          <w:sz w:val="24"/>
        </w:rPr>
        <w:t xml:space="preserve"> Правительства Челябинской области от 20.03.2023 г. N 180-П "О внесении изменения в постановление Правительства Челябинской области от 17.02.2022 г. N 75-П" (Официальный интернет-портал правовой информации (</w:t>
      </w:r>
      <w:hyperlink w:history="0" r:id="rId9">
        <w:r>
          <w:rPr>
            <w:sz w:val="24"/>
            <w:color w:val="0000ff"/>
          </w:rPr>
          <w:t xml:space="preserve">www.pravo.gov.ru</w:t>
        </w:r>
      </w:hyperlink>
      <w:r>
        <w:rPr>
          <w:sz w:val="24"/>
        </w:rPr>
        <w:t xml:space="preserve">), 22 марта 2023 г.);</w:t>
      </w:r>
    </w:p>
    <w:p>
      <w:pPr>
        <w:pStyle w:val="0"/>
        <w:spacing w:before="240" w:lineRule="auto"/>
        <w:ind w:firstLine="540"/>
        <w:jc w:val="both"/>
      </w:pPr>
      <w:r>
        <w:rPr>
          <w:sz w:val="24"/>
        </w:rPr>
        <w:t xml:space="preserve">3) </w:t>
      </w:r>
      <w:r>
        <w:rPr>
          <w:sz w:val="24"/>
        </w:rPr>
        <w:t xml:space="preserve">постановление</w:t>
      </w:r>
      <w:r>
        <w:rPr>
          <w:sz w:val="24"/>
        </w:rPr>
        <w:t xml:space="preserve"> Правительства Челябинской области от 03.05.2024 г. N 291-П "О внесении изменений в постановление Правительства Челябинской области от 17.02.2022 г. N 75-П" (Официальный интернет-портал правовой информации (</w:t>
      </w:r>
      <w:hyperlink w:history="0" r:id="rId10">
        <w:r>
          <w:rPr>
            <w:sz w:val="24"/>
            <w:color w:val="0000ff"/>
          </w:rPr>
          <w:t xml:space="preserve">www.pravo.gov.ru</w:t>
        </w:r>
      </w:hyperlink>
      <w:r>
        <w:rPr>
          <w:sz w:val="24"/>
        </w:rPr>
        <w:t xml:space="preserve">), 7 мая 2024 г.).</w:t>
      </w:r>
    </w:p>
    <w:p>
      <w:pPr>
        <w:pStyle w:val="0"/>
        <w:jc w:val="both"/>
      </w:pPr>
      <w:r>
        <w:rPr>
          <w:sz w:val="24"/>
        </w:rPr>
      </w:r>
    </w:p>
    <w:p>
      <w:pPr>
        <w:pStyle w:val="0"/>
        <w:ind w:firstLine="540"/>
        <w:jc w:val="both"/>
      </w:pPr>
      <w:r>
        <w:rPr>
          <w:sz w:val="24"/>
        </w:rPr>
        <w:t xml:space="preserve">3. Настоящее постановление подлежит официальному опубликованию.</w:t>
      </w:r>
    </w:p>
    <w:p>
      <w:pPr>
        <w:pStyle w:val="0"/>
        <w:jc w:val="both"/>
      </w:pPr>
      <w:r>
        <w:rPr>
          <w:sz w:val="24"/>
        </w:rPr>
      </w:r>
    </w:p>
    <w:p>
      <w:pPr>
        <w:pStyle w:val="0"/>
        <w:jc w:val="right"/>
      </w:pPr>
      <w:r>
        <w:rPr>
          <w:sz w:val="24"/>
        </w:rPr>
        <w:t xml:space="preserve">Председатель</w:t>
      </w:r>
    </w:p>
    <w:p>
      <w:pPr>
        <w:pStyle w:val="0"/>
        <w:jc w:val="right"/>
      </w:pPr>
      <w:r>
        <w:rPr>
          <w:sz w:val="24"/>
        </w:rPr>
        <w:t xml:space="preserve">Правительства</w:t>
      </w:r>
    </w:p>
    <w:p>
      <w:pPr>
        <w:pStyle w:val="0"/>
        <w:jc w:val="right"/>
      </w:pPr>
      <w:r>
        <w:rPr>
          <w:sz w:val="24"/>
        </w:rPr>
        <w:t xml:space="preserve">Челябинской области</w:t>
      </w:r>
    </w:p>
    <w:p>
      <w:pPr>
        <w:pStyle w:val="0"/>
        <w:jc w:val="right"/>
      </w:pPr>
      <w:r>
        <w:rPr>
          <w:sz w:val="24"/>
        </w:rPr>
        <w:t xml:space="preserve">А.Л.ТЕКСЛЕР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Челябинской области</w:t>
      </w:r>
    </w:p>
    <w:p>
      <w:pPr>
        <w:pStyle w:val="0"/>
        <w:jc w:val="right"/>
      </w:pPr>
      <w:r>
        <w:rPr>
          <w:sz w:val="24"/>
        </w:rPr>
        <w:t xml:space="preserve">от 21 июля 2025 г. N 571-П</w:t>
      </w:r>
    </w:p>
    <w:p>
      <w:pPr>
        <w:pStyle w:val="0"/>
        <w:jc w:val="both"/>
      </w:pPr>
      <w:r>
        <w:rPr>
          <w:sz w:val="24"/>
        </w:rPr>
      </w:r>
    </w:p>
    <w:bookmarkStart w:id="38" w:name="P38"/>
    <w:bookmarkEnd w:id="38"/>
    <w:p>
      <w:pPr>
        <w:pStyle w:val="2"/>
        <w:jc w:val="center"/>
      </w:pPr>
      <w:r>
        <w:rPr>
          <w:sz w:val="24"/>
        </w:rPr>
        <w:t xml:space="preserve">Положение</w:t>
      </w:r>
    </w:p>
    <w:p>
      <w:pPr>
        <w:pStyle w:val="2"/>
        <w:jc w:val="center"/>
      </w:pPr>
      <w:r>
        <w:rPr>
          <w:sz w:val="24"/>
        </w:rPr>
        <w:t xml:space="preserve">о муниципальном контроле на автомобильном транспорте,</w:t>
      </w:r>
    </w:p>
    <w:p>
      <w:pPr>
        <w:pStyle w:val="2"/>
        <w:jc w:val="center"/>
      </w:pPr>
      <w:r>
        <w:rPr>
          <w:sz w:val="24"/>
        </w:rPr>
        <w:t xml:space="preserve">городском наземном электрическом транспорте</w:t>
      </w:r>
    </w:p>
    <w:p>
      <w:pPr>
        <w:pStyle w:val="2"/>
        <w:jc w:val="center"/>
      </w:pPr>
      <w:r>
        <w:rPr>
          <w:sz w:val="24"/>
        </w:rPr>
        <w:t xml:space="preserve">и в дорожном хозяйстве</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о муниципальном контроле на автомобильном транспорте, городском наземном электрическом транспорте и в дорожном хозяйстве (далее именуется - Положение) устанавливает порядок организации и осуществления на территории Челябинской области муниципального контроля на автомобильном транспорте, городском наземном электрическом транспорте и в дорожном хозяйстве по муниципальным маршрутам, полномочия по организации регулярных перевозок по которым перераспределены в соответствии с </w:t>
      </w:r>
      <w:r>
        <w:rPr>
          <w:sz w:val="24"/>
        </w:rPr>
        <w:t xml:space="preserve">Законом</w:t>
      </w:r>
      <w:r>
        <w:rPr>
          <w:sz w:val="24"/>
        </w:rPr>
        <w:t xml:space="preserve"> Челябинской области от 30.12.2019 г. N 71-ЗО "О перераспределении полномочий по организации регулярных перевозок пассажиров и багажа по муниципальным маршрутам регулярных перевозок между органами местного самоуправления Челябинского городского округа, Копейского городского округа, Сосновского муниципального района и органами государственной власти Челябинской области" (далее именуются - муниципальные маршруты регулярных перевозок), в части осуществления оценки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(далее именуется - муниципальный контроль).</w:t>
      </w:r>
    </w:p>
    <w:p>
      <w:pPr>
        <w:pStyle w:val="0"/>
        <w:spacing w:before="240" w:lineRule="auto"/>
        <w:ind w:firstLine="540"/>
        <w:jc w:val="both"/>
      </w:pPr>
      <w:r>
        <w:rPr>
          <w:sz w:val="24"/>
        </w:rPr>
        <w:t xml:space="preserve">Организация и осуществление муниципального контроля регулируются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 (далее именуется - Федеральный закон N 248-ФЗ).</w:t>
      </w:r>
    </w:p>
    <w:p>
      <w:pPr>
        <w:pStyle w:val="0"/>
        <w:spacing w:before="240" w:lineRule="auto"/>
        <w:ind w:firstLine="540"/>
        <w:jc w:val="both"/>
      </w:pPr>
      <w:r>
        <w:rPr>
          <w:sz w:val="24"/>
        </w:rPr>
        <w:t xml:space="preserve">2. Предметом муниципального контроля является соблюдение обязательных требований,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(далее именуются - обязательные требования).</w:t>
      </w:r>
    </w:p>
    <w:p>
      <w:pPr>
        <w:pStyle w:val="0"/>
        <w:spacing w:before="240" w:lineRule="auto"/>
        <w:ind w:firstLine="540"/>
        <w:jc w:val="both"/>
      </w:pPr>
      <w:r>
        <w:rPr>
          <w:sz w:val="24"/>
        </w:rPr>
        <w:t xml:space="preserve">3. Муниципальный контроль осуществляется Министерством дорожного хозяйства и транспорта Челябинской области (далее именуется - Министерство).</w:t>
      </w:r>
    </w:p>
    <w:p>
      <w:pPr>
        <w:pStyle w:val="0"/>
        <w:spacing w:before="240" w:lineRule="auto"/>
        <w:ind w:firstLine="540"/>
        <w:jc w:val="both"/>
      </w:pPr>
      <w:r>
        <w:rPr>
          <w:sz w:val="24"/>
        </w:rPr>
        <w:t xml:space="preserve">Организационная структура Министерства соответствует </w:t>
      </w:r>
      <w:r>
        <w:rPr>
          <w:sz w:val="24"/>
        </w:rPr>
        <w:t xml:space="preserve">структуре</w:t>
      </w:r>
      <w:r>
        <w:rPr>
          <w:sz w:val="24"/>
        </w:rPr>
        <w:t xml:space="preserve"> Министерства дорожного хозяйства и транспорта Челябинской области, утвержденной постановлением Губернатора Челябинской области от 29.12.2014 г. N 280 "О Министерстве дорожного хозяйства и транспорта Челябинской области".</w:t>
      </w:r>
    </w:p>
    <w:bookmarkStart w:id="50" w:name="P50"/>
    <w:bookmarkEnd w:id="50"/>
    <w:p>
      <w:pPr>
        <w:pStyle w:val="0"/>
        <w:spacing w:before="240" w:lineRule="auto"/>
        <w:ind w:firstLine="540"/>
        <w:jc w:val="both"/>
      </w:pPr>
      <w:r>
        <w:rPr>
          <w:sz w:val="24"/>
        </w:rPr>
        <w:t xml:space="preserve">4. Должностными лицами Министерства, уполномоченными на осуществление муниципального контроля, являются:</w:t>
      </w:r>
    </w:p>
    <w:bookmarkStart w:id="51" w:name="P51"/>
    <w:bookmarkEnd w:id="51"/>
    <w:p>
      <w:pPr>
        <w:pStyle w:val="0"/>
        <w:spacing w:before="240" w:lineRule="auto"/>
        <w:ind w:firstLine="540"/>
        <w:jc w:val="both"/>
      </w:pPr>
      <w:r>
        <w:rPr>
          <w:sz w:val="24"/>
        </w:rPr>
        <w:t xml:space="preserve">1) Министр дорожного хозяйства и транспорта Челябинской области (далее именуется - Министр);</w:t>
      </w:r>
    </w:p>
    <w:bookmarkStart w:id="52" w:name="P52"/>
    <w:bookmarkEnd w:id="52"/>
    <w:p>
      <w:pPr>
        <w:pStyle w:val="0"/>
        <w:spacing w:before="240" w:lineRule="auto"/>
        <w:ind w:firstLine="540"/>
        <w:jc w:val="both"/>
      </w:pPr>
      <w:r>
        <w:rPr>
          <w:sz w:val="24"/>
        </w:rPr>
        <w:t xml:space="preserve">2) заместитель Министра;</w:t>
      </w:r>
    </w:p>
    <w:bookmarkStart w:id="53" w:name="P53"/>
    <w:bookmarkEnd w:id="53"/>
    <w:p>
      <w:pPr>
        <w:pStyle w:val="0"/>
        <w:spacing w:before="240" w:lineRule="auto"/>
        <w:ind w:firstLine="540"/>
        <w:jc w:val="both"/>
      </w:pPr>
      <w:r>
        <w:rPr>
          <w:sz w:val="24"/>
        </w:rPr>
        <w:t xml:space="preserve">3) государственные гражданские служащие Челябинской области и работники, не являющиеся государственными гражданскими служащими Челябинской области, отдела транспортного и линейного контроля Министерства, к должностным обязанностям которых отнесено осуществление муниципального контроля.</w:t>
      </w:r>
    </w:p>
    <w:p>
      <w:pPr>
        <w:pStyle w:val="0"/>
        <w:spacing w:before="240" w:lineRule="auto"/>
        <w:ind w:firstLine="540"/>
        <w:jc w:val="both"/>
      </w:pPr>
      <w:r>
        <w:rPr>
          <w:sz w:val="24"/>
        </w:rPr>
        <w:t xml:space="preserve">5. Должностными лицами Министерства, уполномоченными на принятие решений о проведении контрольных (надзорных) мероприятий, являются:</w:t>
      </w:r>
    </w:p>
    <w:p>
      <w:pPr>
        <w:pStyle w:val="0"/>
        <w:spacing w:before="240" w:lineRule="auto"/>
        <w:ind w:firstLine="540"/>
        <w:jc w:val="both"/>
      </w:pPr>
      <w:r>
        <w:rPr>
          <w:sz w:val="24"/>
        </w:rPr>
        <w:t xml:space="preserve">1) Министр;</w:t>
      </w:r>
    </w:p>
    <w:p>
      <w:pPr>
        <w:pStyle w:val="0"/>
        <w:spacing w:before="240" w:lineRule="auto"/>
        <w:ind w:firstLine="540"/>
        <w:jc w:val="both"/>
      </w:pPr>
      <w:r>
        <w:rPr>
          <w:sz w:val="24"/>
        </w:rPr>
        <w:t xml:space="preserve">2) заместитель Министра.</w:t>
      </w:r>
    </w:p>
    <w:bookmarkStart w:id="57" w:name="P57"/>
    <w:bookmarkEnd w:id="57"/>
    <w:p>
      <w:pPr>
        <w:pStyle w:val="0"/>
        <w:spacing w:before="240" w:lineRule="auto"/>
        <w:ind w:firstLine="540"/>
        <w:jc w:val="both"/>
      </w:pPr>
      <w:r>
        <w:rPr>
          <w:sz w:val="24"/>
        </w:rPr>
        <w:t xml:space="preserve">6. Объектом муниципального контроля является деятельность организаций, индивидуальных предпринимателей (далее именуются - контролируемые лица) по перевозке пассажиров и багажа по муниципальным маршрутам регулярных перевозок.</w:t>
      </w:r>
    </w:p>
    <w:p>
      <w:pPr>
        <w:pStyle w:val="0"/>
        <w:spacing w:before="240" w:lineRule="auto"/>
        <w:ind w:firstLine="540"/>
        <w:jc w:val="both"/>
      </w:pPr>
      <w:r>
        <w:rPr>
          <w:sz w:val="24"/>
        </w:rPr>
        <w:t xml:space="preserve">7. Министерство обеспечивает учет объектов муниципального контроля, указанных в </w:t>
      </w:r>
      <w:hyperlink w:history="0" w:anchor="P57" w:tooltip="6. Объектом муниципального контроля является деятельность организаций, индивидуальных предпринимателей (далее именуются - контролируемые лица) по перевозке пассажиров и багажа по муниципальным маршрутам регулярных перевозок.">
        <w:r>
          <w:rPr>
            <w:sz w:val="24"/>
            <w:color w:val="0000ff"/>
          </w:rPr>
          <w:t xml:space="preserve">пункте 6</w:t>
        </w:r>
      </w:hyperlink>
      <w:r>
        <w:rPr>
          <w:sz w:val="24"/>
        </w:rPr>
        <w:t xml:space="preserve"> настоящего Положения, в реестре, размещаемом на официальном сайте Министерства в информационно-телекоммуникационной сети Интернет.</w:t>
      </w:r>
    </w:p>
    <w:p>
      <w:pPr>
        <w:pStyle w:val="0"/>
        <w:jc w:val="both"/>
      </w:pPr>
      <w:r>
        <w:rPr>
          <w:sz w:val="24"/>
        </w:rPr>
      </w:r>
    </w:p>
    <w:p>
      <w:pPr>
        <w:pStyle w:val="2"/>
        <w:outlineLvl w:val="1"/>
        <w:jc w:val="center"/>
      </w:pPr>
      <w:r>
        <w:rPr>
          <w:sz w:val="24"/>
        </w:rPr>
        <w:t xml:space="preserve">II. Управление рисками причинения вреда (ущерба)</w:t>
      </w:r>
    </w:p>
    <w:p>
      <w:pPr>
        <w:pStyle w:val="2"/>
        <w:jc w:val="center"/>
      </w:pPr>
      <w:r>
        <w:rPr>
          <w:sz w:val="24"/>
        </w:rPr>
        <w:t xml:space="preserve">охраняемым законом ценностям при осуществлении</w:t>
      </w:r>
    </w:p>
    <w:p>
      <w:pPr>
        <w:pStyle w:val="2"/>
        <w:jc w:val="center"/>
      </w:pPr>
      <w:r>
        <w:rPr>
          <w:sz w:val="24"/>
        </w:rPr>
        <w:t xml:space="preserve">муниципального контроля</w:t>
      </w:r>
    </w:p>
    <w:p>
      <w:pPr>
        <w:pStyle w:val="0"/>
        <w:jc w:val="both"/>
      </w:pPr>
      <w:r>
        <w:rPr>
          <w:sz w:val="24"/>
        </w:rPr>
      </w:r>
    </w:p>
    <w:p>
      <w:pPr>
        <w:pStyle w:val="0"/>
        <w:ind w:firstLine="540"/>
        <w:jc w:val="both"/>
      </w:pPr>
      <w:r>
        <w:rPr>
          <w:sz w:val="24"/>
        </w:rPr>
        <w:t xml:space="preserve">8. Муниципальный контроль осуществляется на основе управления рисками причинения вреда (ущерба) охраняемым законом ценностям.</w:t>
      </w:r>
    </w:p>
    <w:bookmarkStart w:id="65" w:name="P65"/>
    <w:bookmarkEnd w:id="65"/>
    <w:p>
      <w:pPr>
        <w:pStyle w:val="0"/>
        <w:spacing w:before="240" w:lineRule="auto"/>
        <w:ind w:firstLine="540"/>
        <w:jc w:val="both"/>
      </w:pPr>
      <w:r>
        <w:rPr>
          <w:sz w:val="24"/>
        </w:rPr>
        <w:t xml:space="preserve">9. Министерство относит объекты муниципального контроля к одной из следующих категорий риска причинения вреда (ущерба) охраняемым законом ценностям (далее именуются - категории риска):</w:t>
      </w:r>
    </w:p>
    <w:p>
      <w:pPr>
        <w:pStyle w:val="0"/>
        <w:spacing w:before="240" w:lineRule="auto"/>
        <w:ind w:firstLine="540"/>
        <w:jc w:val="both"/>
      </w:pPr>
      <w:r>
        <w:rPr>
          <w:sz w:val="24"/>
        </w:rPr>
        <w:t xml:space="preserve">1) высокий риск;</w:t>
      </w:r>
    </w:p>
    <w:p>
      <w:pPr>
        <w:pStyle w:val="0"/>
        <w:spacing w:before="240" w:lineRule="auto"/>
        <w:ind w:firstLine="540"/>
        <w:jc w:val="both"/>
      </w:pPr>
      <w:r>
        <w:rPr>
          <w:sz w:val="24"/>
        </w:rPr>
        <w:t xml:space="preserve">2) средний риск;</w:t>
      </w:r>
    </w:p>
    <w:p>
      <w:pPr>
        <w:pStyle w:val="0"/>
        <w:spacing w:before="240" w:lineRule="auto"/>
        <w:ind w:firstLine="540"/>
        <w:jc w:val="both"/>
      </w:pPr>
      <w:r>
        <w:rPr>
          <w:sz w:val="24"/>
        </w:rPr>
        <w:t xml:space="preserve">3) низкий риск.</w:t>
      </w:r>
    </w:p>
    <w:p>
      <w:pPr>
        <w:pStyle w:val="0"/>
        <w:spacing w:before="240" w:lineRule="auto"/>
        <w:ind w:firstLine="540"/>
        <w:jc w:val="both"/>
      </w:pPr>
      <w:r>
        <w:rPr>
          <w:sz w:val="24"/>
        </w:rPr>
        <w:t xml:space="preserve">10. Министерство осуществляет отнесение объектов муниципального контроля к одной из категорий риска, указанных в </w:t>
      </w:r>
      <w:hyperlink w:history="0" w:anchor="P65" w:tooltip="9. Министерство относит объекты муниципального контроля к одной из следующих категорий риска причинения вреда (ущерба) охраняемым законом ценностям (далее именуются - категории риска):">
        <w:r>
          <w:rPr>
            <w:sz w:val="24"/>
            <w:color w:val="0000ff"/>
          </w:rPr>
          <w:t xml:space="preserve">пункте 9</w:t>
        </w:r>
      </w:hyperlink>
      <w:r>
        <w:rPr>
          <w:sz w:val="24"/>
        </w:rPr>
        <w:t xml:space="preserve"> настоящего Положения, на основании </w:t>
      </w:r>
      <w:hyperlink w:history="0" w:anchor="P200" w:tooltip="Критерии">
        <w:r>
          <w:rPr>
            <w:sz w:val="24"/>
            <w:color w:val="0000ff"/>
          </w:rPr>
          <w:t xml:space="preserve">критериев</w:t>
        </w:r>
      </w:hyperlink>
      <w:r>
        <w:rPr>
          <w:sz w:val="24"/>
        </w:rPr>
        <w:t xml:space="preserve"> отнесения объектов муниципального контроля к категориям риска в соответствии с приложением к настоящему Положению.</w:t>
      </w:r>
    </w:p>
    <w:p>
      <w:pPr>
        <w:pStyle w:val="0"/>
        <w:spacing w:before="240" w:lineRule="auto"/>
        <w:ind w:firstLine="540"/>
        <w:jc w:val="both"/>
      </w:pPr>
      <w:r>
        <w:rPr>
          <w:sz w:val="24"/>
        </w:rPr>
        <w:t xml:space="preserve">11. Министерство осуществляет учет объектов муниципального контроля путем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spacing w:before="240" w:lineRule="auto"/>
        <w:ind w:firstLine="540"/>
        <w:jc w:val="both"/>
      </w:pPr>
      <w:r>
        <w:rPr>
          <w:sz w:val="24"/>
        </w:rPr>
        <w:t xml:space="preserve">12. Перечень объектов муниципального контроля размещается на официальном сайте Министерства в информационно-телекоммуникационной сети Интернет.</w:t>
      </w:r>
    </w:p>
    <w:p>
      <w:pPr>
        <w:pStyle w:val="0"/>
        <w:spacing w:before="240" w:lineRule="auto"/>
        <w:ind w:firstLine="540"/>
        <w:jc w:val="both"/>
      </w:pPr>
      <w:r>
        <w:rPr>
          <w:sz w:val="24"/>
        </w:rPr>
        <w:t xml:space="preserve">13.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муниципального контроля, отнесенных к определенным категориям риска, устанавливаются соразмерно рискам причинения вреда (ущерба) охраняемым законом ценностям.</w:t>
      </w:r>
    </w:p>
    <w:bookmarkStart w:id="73" w:name="P73"/>
    <w:bookmarkEnd w:id="73"/>
    <w:p>
      <w:pPr>
        <w:pStyle w:val="0"/>
        <w:spacing w:before="240" w:lineRule="auto"/>
        <w:ind w:firstLine="540"/>
        <w:jc w:val="both"/>
      </w:pPr>
      <w:r>
        <w:rPr>
          <w:sz w:val="24"/>
        </w:rPr>
        <w:t xml:space="preserve">В отношении объектов муниципального контроля, отнесенных к категории высокого риска, проводится одно плановое контрольное (надзорное) мероприятие в два года либо один профилактический визит в год.</w:t>
      </w:r>
    </w:p>
    <w:p>
      <w:pPr>
        <w:pStyle w:val="0"/>
        <w:spacing w:before="240" w:lineRule="auto"/>
        <w:ind w:firstLine="540"/>
        <w:jc w:val="both"/>
      </w:pPr>
      <w:r>
        <w:rPr>
          <w:sz w:val="24"/>
        </w:rPr>
        <w:t xml:space="preserve">В отношении объектов муниципального контроля, отнесенных к категории среднего риска, обязательные профилактические визиты не проводятся.</w:t>
      </w:r>
    </w:p>
    <w:p>
      <w:pPr>
        <w:pStyle w:val="0"/>
        <w:jc w:val="both"/>
      </w:pPr>
      <w:r>
        <w:rPr>
          <w:sz w:val="24"/>
        </w:rPr>
      </w:r>
    </w:p>
    <w:p>
      <w:pPr>
        <w:pStyle w:val="2"/>
        <w:outlineLvl w:val="1"/>
        <w:jc w:val="center"/>
      </w:pPr>
      <w:r>
        <w:rPr>
          <w:sz w:val="24"/>
        </w:rPr>
        <w:t xml:space="preserve">III. Оценка соблюдения обязательных требований в области</w:t>
      </w:r>
    </w:p>
    <w:p>
      <w:pPr>
        <w:pStyle w:val="2"/>
        <w:jc w:val="center"/>
      </w:pPr>
      <w:r>
        <w:rPr>
          <w:sz w:val="24"/>
        </w:rPr>
        <w:t xml:space="preserve">организации регулярных перевозок пассажиров и багажа</w:t>
      </w:r>
    </w:p>
    <w:p>
      <w:pPr>
        <w:pStyle w:val="2"/>
        <w:jc w:val="center"/>
      </w:pPr>
      <w:r>
        <w:rPr>
          <w:sz w:val="24"/>
        </w:rPr>
        <w:t xml:space="preserve">автомобильным транспортом и городским наземным электрическим</w:t>
      </w:r>
    </w:p>
    <w:p>
      <w:pPr>
        <w:pStyle w:val="2"/>
        <w:jc w:val="center"/>
      </w:pPr>
      <w:r>
        <w:rPr>
          <w:sz w:val="24"/>
        </w:rPr>
        <w:t xml:space="preserve">транспортом по муниципальным маршрутам регулярных перевозок</w:t>
      </w:r>
    </w:p>
    <w:p>
      <w:pPr>
        <w:pStyle w:val="0"/>
        <w:jc w:val="both"/>
      </w:pPr>
      <w:r>
        <w:rPr>
          <w:sz w:val="24"/>
        </w:rPr>
      </w:r>
    </w:p>
    <w:p>
      <w:pPr>
        <w:pStyle w:val="0"/>
        <w:ind w:firstLine="540"/>
        <w:jc w:val="both"/>
      </w:pPr>
      <w:r>
        <w:rPr>
          <w:sz w:val="24"/>
        </w:rPr>
        <w:t xml:space="preserve">14.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осуществляется при проведении профилактических визитов и посредством проведения контрольных (надзорных) мероприятий.</w:t>
      </w:r>
    </w:p>
    <w:p>
      <w:pPr>
        <w:pStyle w:val="0"/>
        <w:spacing w:before="240" w:lineRule="auto"/>
        <w:ind w:firstLine="540"/>
        <w:jc w:val="both"/>
      </w:pPr>
      <w:r>
        <w:rPr>
          <w:sz w:val="24"/>
        </w:rPr>
        <w:t xml:space="preserve">15. Профилактические визиты проводятся должностными лицами, указанными в </w:t>
      </w:r>
      <w:hyperlink w:history="0" w:anchor="P50" w:tooltip="4. Должностными лицами Министерства, уполномоченными на осуществление муниципального контроля, являются:">
        <w:r>
          <w:rPr>
            <w:sz w:val="24"/>
            <w:color w:val="0000ff"/>
          </w:rPr>
          <w:t xml:space="preserve">пункте 4</w:t>
        </w:r>
      </w:hyperlink>
      <w:r>
        <w:rPr>
          <w:sz w:val="24"/>
        </w:rPr>
        <w:t xml:space="preserve"> настоящего Положения,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40" w:lineRule="auto"/>
        <w:ind w:firstLine="540"/>
        <w:jc w:val="both"/>
      </w:pPr>
      <w:r>
        <w:rPr>
          <w:sz w:val="24"/>
        </w:rPr>
        <w:t xml:space="preserve">Профилактический визит проводится по инициативе Министерства (далее именуется - обязательный профилактический визит) или по инициативе контролируемого лица.</w:t>
      </w:r>
    </w:p>
    <w:p>
      <w:pPr>
        <w:pStyle w:val="0"/>
        <w:spacing w:before="240" w:lineRule="auto"/>
        <w:ind w:firstLine="540"/>
        <w:jc w:val="both"/>
      </w:pPr>
      <w:r>
        <w:rPr>
          <w:sz w:val="24"/>
        </w:rPr>
        <w:t xml:space="preserve">16. Обязательный профилактический визит проводится:</w:t>
      </w:r>
    </w:p>
    <w:p>
      <w:pPr>
        <w:pStyle w:val="0"/>
        <w:spacing w:before="240" w:lineRule="auto"/>
        <w:ind w:firstLine="540"/>
        <w:jc w:val="both"/>
      </w:pPr>
      <w:r>
        <w:rPr>
          <w:sz w:val="24"/>
        </w:rPr>
        <w:t xml:space="preserve">1) в отношении объектов муниципального контроля, отнесенных к категории высокого риска, с учетом периодичности проведения обязательных профилактических мероприятий, установленной в </w:t>
      </w:r>
      <w:hyperlink w:history="0" w:anchor="P73" w:tooltip="В отношении объектов муниципального контроля, отнесенных к категории высокого риска, проводится одно плановое контрольное (надзорное) мероприятие в два года либо один профилактический визит в год.">
        <w:r>
          <w:rPr>
            <w:sz w:val="24"/>
            <w:color w:val="0000ff"/>
          </w:rPr>
          <w:t xml:space="preserve">абзаце втором пункта 13</w:t>
        </w:r>
      </w:hyperlink>
      <w:r>
        <w:rPr>
          <w:sz w:val="24"/>
        </w:rPr>
        <w:t xml:space="preserve"> настоящего Положения;</w:t>
      </w:r>
    </w:p>
    <w:p>
      <w:pPr>
        <w:pStyle w:val="0"/>
        <w:spacing w:before="240" w:lineRule="auto"/>
        <w:ind w:firstLine="540"/>
        <w:jc w:val="both"/>
      </w:pPr>
      <w:r>
        <w:rPr>
          <w:sz w:val="24"/>
        </w:rPr>
        <w:t xml:space="preserve">2) по поручению:</w:t>
      </w:r>
    </w:p>
    <w:p>
      <w:pPr>
        <w:pStyle w:val="0"/>
        <w:spacing w:before="240" w:lineRule="auto"/>
        <w:ind w:firstLine="540"/>
        <w:jc w:val="both"/>
      </w:pPr>
      <w:r>
        <w:rPr>
          <w:sz w:val="24"/>
        </w:rPr>
        <w:t xml:space="preserve">Президента Российской Федерации;</w:t>
      </w:r>
    </w:p>
    <w:p>
      <w:pPr>
        <w:pStyle w:val="0"/>
        <w:spacing w:before="240" w:lineRule="auto"/>
        <w:ind w:firstLine="540"/>
        <w:jc w:val="both"/>
      </w:pPr>
      <w:r>
        <w:rPr>
          <w:sz w:val="24"/>
        </w:rPr>
        <w:t xml:space="preserve">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pPr>
        <w:pStyle w:val="0"/>
        <w:spacing w:before="240" w:lineRule="auto"/>
        <w:ind w:firstLine="540"/>
        <w:jc w:val="both"/>
      </w:pPr>
      <w:r>
        <w:rPr>
          <w:sz w:val="24"/>
        </w:rPr>
        <w:t xml:space="preserve">Губернатора Челябинской области.</w:t>
      </w:r>
    </w:p>
    <w:p>
      <w:pPr>
        <w:pStyle w:val="0"/>
        <w:spacing w:before="240" w:lineRule="auto"/>
        <w:ind w:firstLine="540"/>
        <w:jc w:val="both"/>
      </w:pPr>
      <w:r>
        <w:rPr>
          <w:sz w:val="24"/>
        </w:rPr>
        <w:t xml:space="preserve">Срок проведения обязательного профилактического визита не может превышать десяти рабочих дней и может быть продлен на срок, необходимый для проведения экспертизы.</w:t>
      </w:r>
    </w:p>
    <w:p>
      <w:pPr>
        <w:pStyle w:val="0"/>
        <w:spacing w:before="240" w:lineRule="auto"/>
        <w:ind w:firstLine="540"/>
        <w:jc w:val="both"/>
      </w:pPr>
      <w:r>
        <w:rPr>
          <w:sz w:val="24"/>
        </w:rPr>
        <w:t xml:space="preserve">17.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40" w:lineRule="auto"/>
        <w:ind w:firstLine="540"/>
        <w:jc w:val="both"/>
      </w:pPr>
      <w:r>
        <w:rPr>
          <w:sz w:val="24"/>
        </w:rPr>
        <w:t xml:space="preserve">18. Обязательный профилактический визит и профилактический визит по инициативе контролируемого лица проводятся с учетом требований </w:t>
      </w:r>
      <w:r>
        <w:rPr>
          <w:sz w:val="24"/>
        </w:rPr>
        <w:t xml:space="preserve">статей 52.1</w:t>
      </w:r>
      <w:r>
        <w:rPr>
          <w:sz w:val="24"/>
        </w:rPr>
        <w:t xml:space="preserve">, </w:t>
      </w:r>
      <w:r>
        <w:rPr>
          <w:sz w:val="24"/>
        </w:rPr>
        <w:t xml:space="preserve">52.2</w:t>
      </w:r>
      <w:r>
        <w:rPr>
          <w:sz w:val="24"/>
        </w:rPr>
        <w:t xml:space="preserve"> Федерального закона N 248-ФЗ.</w:t>
      </w:r>
    </w:p>
    <w:bookmarkStart w:id="93" w:name="P93"/>
    <w:bookmarkEnd w:id="93"/>
    <w:p>
      <w:pPr>
        <w:pStyle w:val="0"/>
        <w:spacing w:before="240" w:lineRule="auto"/>
        <w:ind w:firstLine="540"/>
        <w:jc w:val="both"/>
      </w:pPr>
      <w:r>
        <w:rPr>
          <w:sz w:val="24"/>
        </w:rPr>
        <w:t xml:space="preserve">19. Муниципальный контроль осуществляется посредством проведения следующих контрольных (надзорных) мероприятий:</w:t>
      </w:r>
    </w:p>
    <w:p>
      <w:pPr>
        <w:pStyle w:val="0"/>
        <w:spacing w:before="240" w:lineRule="auto"/>
        <w:ind w:firstLine="540"/>
        <w:jc w:val="both"/>
      </w:pPr>
      <w:r>
        <w:rPr>
          <w:sz w:val="24"/>
        </w:rPr>
        <w:t xml:space="preserve">1) инспекционный визит;</w:t>
      </w:r>
    </w:p>
    <w:p>
      <w:pPr>
        <w:pStyle w:val="0"/>
        <w:spacing w:before="240" w:lineRule="auto"/>
        <w:ind w:firstLine="540"/>
        <w:jc w:val="both"/>
      </w:pPr>
      <w:r>
        <w:rPr>
          <w:sz w:val="24"/>
        </w:rPr>
        <w:t xml:space="preserve">2) рейдовый осмотр;</w:t>
      </w:r>
    </w:p>
    <w:p>
      <w:pPr>
        <w:pStyle w:val="0"/>
        <w:spacing w:before="240" w:lineRule="auto"/>
        <w:ind w:firstLine="540"/>
        <w:jc w:val="both"/>
      </w:pPr>
      <w:r>
        <w:rPr>
          <w:sz w:val="24"/>
        </w:rPr>
        <w:t xml:space="preserve">3) документарная проверка;</w:t>
      </w:r>
    </w:p>
    <w:p>
      <w:pPr>
        <w:pStyle w:val="0"/>
        <w:spacing w:before="240" w:lineRule="auto"/>
        <w:ind w:firstLine="540"/>
        <w:jc w:val="both"/>
      </w:pPr>
      <w:r>
        <w:rPr>
          <w:sz w:val="24"/>
        </w:rPr>
        <w:t xml:space="preserve">4) выездная проверка.</w:t>
      </w:r>
    </w:p>
    <w:p>
      <w:pPr>
        <w:pStyle w:val="0"/>
        <w:spacing w:before="240" w:lineRule="auto"/>
        <w:ind w:firstLine="540"/>
        <w:jc w:val="both"/>
      </w:pPr>
      <w:r>
        <w:rPr>
          <w:sz w:val="24"/>
        </w:rPr>
        <w:t xml:space="preserve">20. Контрольные (надзорные) мероприятия, указанные в </w:t>
      </w:r>
      <w:hyperlink w:history="0" w:anchor="P93" w:tooltip="19. Муниципальный контроль осуществляется посредством проведения следующих контрольных (надзорных) мероприятий:">
        <w:r>
          <w:rPr>
            <w:sz w:val="24"/>
            <w:color w:val="0000ff"/>
          </w:rPr>
          <w:t xml:space="preserve">пункте 19</w:t>
        </w:r>
      </w:hyperlink>
      <w:r>
        <w:rPr>
          <w:sz w:val="24"/>
        </w:rPr>
        <w:t xml:space="preserve"> настоящего Положения, проводятся Министерством на плановой и внеплановой основе.</w:t>
      </w:r>
    </w:p>
    <w:p>
      <w:pPr>
        <w:pStyle w:val="0"/>
        <w:spacing w:before="240" w:lineRule="auto"/>
        <w:ind w:firstLine="540"/>
        <w:jc w:val="both"/>
      </w:pPr>
      <w:r>
        <w:rPr>
          <w:sz w:val="24"/>
        </w:rPr>
        <w:t xml:space="preserve">21. Инспекционный визит, рейдовый осмотр,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22.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именуется - ежегодный план контрольных (надзорных) мероприятий), формируемого Министерством и подлежащего согласованию с органами прокуратуры.</w:t>
      </w:r>
    </w:p>
    <w:p>
      <w:pPr>
        <w:pStyle w:val="0"/>
        <w:spacing w:before="240" w:lineRule="auto"/>
        <w:ind w:firstLine="540"/>
        <w:jc w:val="both"/>
      </w:pPr>
      <w:r>
        <w:rPr>
          <w:sz w:val="24"/>
        </w:rPr>
        <w:t xml:space="preserve">23. Основанием для проведения планового контрольного (надзорного) мероприятия является наступление сроков проведения планового контрольного (надзорного) мероприятия, включенного в ежегодный план контрольных (надзорных) мероприятий.</w:t>
      </w:r>
    </w:p>
    <w:p>
      <w:pPr>
        <w:pStyle w:val="0"/>
        <w:spacing w:before="240" w:lineRule="auto"/>
        <w:ind w:firstLine="540"/>
        <w:jc w:val="both"/>
      </w:pPr>
      <w:r>
        <w:rPr>
          <w:sz w:val="24"/>
        </w:rPr>
        <w:t xml:space="preserve">24. Формирование ежегодного плана контрольных (надзорных) мероприятий осуществляется в соответствии с </w:t>
      </w:r>
      <w:r>
        <w:rPr>
          <w:sz w:val="24"/>
        </w:rPr>
        <w:t xml:space="preserve">постановлением</w:t>
      </w:r>
      <w:r>
        <w:rPr>
          <w:sz w:val="24"/>
        </w:rPr>
        <w:t xml:space="preserve"> Правительства Российской Федерации от 31 декабря 2020 г.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pPr>
        <w:pStyle w:val="0"/>
        <w:spacing w:before="240" w:lineRule="auto"/>
        <w:ind w:firstLine="540"/>
        <w:jc w:val="both"/>
      </w:pPr>
      <w:r>
        <w:rPr>
          <w:sz w:val="24"/>
        </w:rPr>
        <w:t xml:space="preserve">25. Внеплановые контрольные (надзорные) мероприятия проводятся Министерством по следующим основаниям:</w:t>
      </w:r>
    </w:p>
    <w:p>
      <w:pPr>
        <w:pStyle w:val="0"/>
        <w:spacing w:before="240" w:lineRule="auto"/>
        <w:ind w:firstLine="540"/>
        <w:jc w:val="both"/>
      </w:pPr>
      <w:r>
        <w:rPr>
          <w:sz w:val="24"/>
        </w:rPr>
        <w:t xml:space="preserve">1) наличие у Министерства сведений о причинении вреда (ущерба) или об угрозе причинения вреда (ущерба) охраняемым законом ценностям с учетом положений </w:t>
      </w:r>
      <w:r>
        <w:rPr>
          <w:sz w:val="24"/>
        </w:rPr>
        <w:t xml:space="preserve">статьи 60</w:t>
      </w:r>
      <w:r>
        <w:rPr>
          <w:sz w:val="24"/>
        </w:rPr>
        <w:t xml:space="preserve"> Федерального закона N 248-ФЗ;</w:t>
      </w:r>
    </w:p>
    <w:p>
      <w:pPr>
        <w:pStyle w:val="0"/>
        <w:spacing w:before="240" w:lineRule="auto"/>
        <w:ind w:firstLine="540"/>
        <w:jc w:val="both"/>
      </w:pPr>
      <w:r>
        <w:rPr>
          <w:sz w:val="24"/>
        </w:rPr>
        <w:t xml:space="preserve">2) поручение Президента Российской Федерации, поручение Правительства Российской Федерации о проведении проверки в отношении конкретных контролируемых лиц;</w:t>
      </w:r>
    </w:p>
    <w:p>
      <w:pPr>
        <w:pStyle w:val="0"/>
        <w:spacing w:before="240" w:lineRule="auto"/>
        <w:ind w:firstLine="540"/>
        <w:jc w:val="both"/>
      </w:pPr>
      <w:r>
        <w:rPr>
          <w:sz w:val="24"/>
        </w:rPr>
        <w:t xml:space="preserve">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0"/>
        <w:spacing w:before="240" w:lineRule="auto"/>
        <w:ind w:firstLine="540"/>
        <w:jc w:val="both"/>
      </w:pPr>
      <w:r>
        <w:rPr>
          <w:sz w:val="24"/>
        </w:rPr>
        <w:t xml:space="preserve">4) истечение срока исполнения решения Министерства об устранении выявленного нарушения обязательных требований - в случаях, установленных </w:t>
      </w:r>
      <w:r>
        <w:rPr>
          <w:sz w:val="24"/>
        </w:rPr>
        <w:t xml:space="preserve">частью 1 статьи 95</w:t>
      </w:r>
      <w:r>
        <w:rPr>
          <w:sz w:val="24"/>
        </w:rPr>
        <w:t xml:space="preserve"> Федерального закона N 248-ФЗ;</w:t>
      </w:r>
    </w:p>
    <w:p>
      <w:pPr>
        <w:pStyle w:val="0"/>
        <w:spacing w:before="240" w:lineRule="auto"/>
        <w:ind w:firstLine="540"/>
        <w:jc w:val="both"/>
      </w:pPr>
      <w:r>
        <w:rPr>
          <w:sz w:val="24"/>
        </w:rPr>
        <w:t xml:space="preserve">5) выявление соответствия объекта муниципального контроля параметрам, утвержденным индикатором риска нарушения обязательных требований, или отклонения объекта муниципального контроля от таких параметров;</w:t>
      </w:r>
    </w:p>
    <w:p>
      <w:pPr>
        <w:pStyle w:val="0"/>
        <w:spacing w:before="240" w:lineRule="auto"/>
        <w:ind w:firstLine="540"/>
        <w:jc w:val="both"/>
      </w:pPr>
      <w:r>
        <w:rPr>
          <w:sz w:val="24"/>
        </w:rPr>
        <w:t xml:space="preserve">6) уклонение контролируемого лица от проведения обязательного профилактического визита.</w:t>
      </w:r>
    </w:p>
    <w:p>
      <w:pPr>
        <w:pStyle w:val="0"/>
        <w:spacing w:before="240" w:lineRule="auto"/>
        <w:ind w:firstLine="540"/>
        <w:jc w:val="both"/>
      </w:pPr>
      <w:r>
        <w:rPr>
          <w:sz w:val="24"/>
        </w:rPr>
        <w:t xml:space="preserve">26. В целях оценки риска причинения вреда (ущерба) охраняемым законом ценностям при принятии решения о проведении и выборе вида внепланового контрольного (надзорного) мероприятия Министерством применяется следующий индикатор риска нарушения обязательных требований: наличие информации, поступившей от федеральных органов исполнительной власти, уполномоченных на осуществление федерального государственного транспортного надзора, о выявлении в течение трех месяцев более двух фактов, свидетельствующих об уменьшении количества транспортных средств, осуществляющих перевозку по муниципальному маршруту регулярных перевозок, по сравнению с количеством транспортных средств, указанным в свидетельстве об осуществлении перевозок по муниципальному маршруту регулярных перевозок.</w:t>
      </w:r>
    </w:p>
    <w:p>
      <w:pPr>
        <w:pStyle w:val="0"/>
        <w:spacing w:before="240" w:lineRule="auto"/>
        <w:ind w:firstLine="540"/>
        <w:jc w:val="both"/>
      </w:pPr>
      <w:r>
        <w:rPr>
          <w:sz w:val="24"/>
        </w:rPr>
        <w:t xml:space="preserve">27. Инспекционный визит проводится в порядке, предусмотренном </w:t>
      </w:r>
      <w:r>
        <w:rPr>
          <w:sz w:val="24"/>
        </w:rPr>
        <w:t xml:space="preserve">статьей 70</w:t>
      </w:r>
      <w:r>
        <w:rPr>
          <w:sz w:val="24"/>
        </w:rPr>
        <w:t xml:space="preserve"> Федерального закона N 248-ФЗ.</w:t>
      </w:r>
    </w:p>
    <w:p>
      <w:pPr>
        <w:pStyle w:val="0"/>
        <w:spacing w:before="240" w:lineRule="auto"/>
        <w:ind w:firstLine="540"/>
        <w:jc w:val="both"/>
      </w:pPr>
      <w:r>
        <w:rPr>
          <w:sz w:val="24"/>
        </w:rPr>
        <w:t xml:space="preserve">28.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pPr>
        <w:pStyle w:val="0"/>
        <w:spacing w:before="240" w:lineRule="auto"/>
        <w:ind w:firstLine="540"/>
        <w:jc w:val="both"/>
      </w:pPr>
      <w:r>
        <w:rPr>
          <w:sz w:val="24"/>
        </w:rPr>
        <w:t xml:space="preserve">29. В ходе инспекционного визита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опрос;</w:t>
      </w:r>
    </w:p>
    <w:p>
      <w:pPr>
        <w:pStyle w:val="0"/>
        <w:spacing w:before="240" w:lineRule="auto"/>
        <w:ind w:firstLine="540"/>
        <w:jc w:val="both"/>
      </w:pPr>
      <w:r>
        <w:rPr>
          <w:sz w:val="24"/>
        </w:rPr>
        <w:t xml:space="preserve">3) получение письменных объяснений;</w:t>
      </w:r>
    </w:p>
    <w:p>
      <w:pPr>
        <w:pStyle w:val="0"/>
        <w:spacing w:before="240" w:lineRule="auto"/>
        <w:ind w:firstLine="540"/>
        <w:jc w:val="both"/>
      </w:pPr>
      <w:r>
        <w:rPr>
          <w:sz w:val="24"/>
        </w:rPr>
        <w:t xml:space="preserve">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pPr>
        <w:pStyle w:val="0"/>
        <w:spacing w:before="240" w:lineRule="auto"/>
        <w:ind w:firstLine="540"/>
        <w:jc w:val="both"/>
      </w:pPr>
      <w:r>
        <w:rPr>
          <w:sz w:val="24"/>
        </w:rPr>
        <w:t xml:space="preserve">30. Рейдовый осмотр проводится в порядке, предусмотренном </w:t>
      </w:r>
      <w:r>
        <w:rPr>
          <w:sz w:val="24"/>
        </w:rPr>
        <w:t xml:space="preserve">статьей 71</w:t>
      </w:r>
      <w:r>
        <w:rPr>
          <w:sz w:val="24"/>
        </w:rPr>
        <w:t xml:space="preserve"> Федерального закона N 248-ФЗ.</w:t>
      </w:r>
    </w:p>
    <w:p>
      <w:pPr>
        <w:pStyle w:val="0"/>
        <w:spacing w:before="240" w:lineRule="auto"/>
        <w:ind w:firstLine="540"/>
        <w:jc w:val="both"/>
      </w:pPr>
      <w:r>
        <w:rPr>
          <w:sz w:val="24"/>
        </w:rPr>
        <w:t xml:space="preserve">31. В ходе рейдового осмотра могут совершаться следующие контрольные (надзорные) действия:</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опрос;</w:t>
      </w:r>
    </w:p>
    <w:p>
      <w:pPr>
        <w:pStyle w:val="0"/>
        <w:spacing w:before="240" w:lineRule="auto"/>
        <w:ind w:firstLine="540"/>
        <w:jc w:val="both"/>
      </w:pPr>
      <w:r>
        <w:rPr>
          <w:sz w:val="24"/>
        </w:rPr>
        <w:t xml:space="preserve">3) получение письменных объяснений;</w:t>
      </w:r>
    </w:p>
    <w:p>
      <w:pPr>
        <w:pStyle w:val="0"/>
        <w:spacing w:before="240" w:lineRule="auto"/>
        <w:ind w:firstLine="540"/>
        <w:jc w:val="both"/>
      </w:pPr>
      <w:r>
        <w:rPr>
          <w:sz w:val="24"/>
        </w:rPr>
        <w:t xml:space="preserve">4) истребование документов.</w:t>
      </w:r>
    </w:p>
    <w:p>
      <w:pPr>
        <w:pStyle w:val="0"/>
        <w:spacing w:before="240" w:lineRule="auto"/>
        <w:ind w:firstLine="540"/>
        <w:jc w:val="both"/>
      </w:pPr>
      <w:r>
        <w:rPr>
          <w:sz w:val="24"/>
        </w:rPr>
        <w:t xml:space="preserve">32. Документарная проверка проводится в порядке, предусмотренном </w:t>
      </w:r>
      <w:r>
        <w:rPr>
          <w:sz w:val="24"/>
        </w:rPr>
        <w:t xml:space="preserve">статьей 72</w:t>
      </w:r>
      <w:r>
        <w:rPr>
          <w:sz w:val="24"/>
        </w:rPr>
        <w:t xml:space="preserve"> Федерального закона N 248-ФЗ.</w:t>
      </w:r>
    </w:p>
    <w:p>
      <w:pPr>
        <w:pStyle w:val="0"/>
        <w:spacing w:before="240" w:lineRule="auto"/>
        <w:ind w:firstLine="540"/>
        <w:jc w:val="both"/>
      </w:pPr>
      <w:r>
        <w:rPr>
          <w:sz w:val="24"/>
        </w:rPr>
        <w:t xml:space="preserve">33. Документарные проверки проводятся должностными лицами Министерства путем совершения следующих контрольных (надзорных) действий:</w:t>
      </w:r>
    </w:p>
    <w:p>
      <w:pPr>
        <w:pStyle w:val="0"/>
        <w:spacing w:before="240" w:lineRule="auto"/>
        <w:ind w:firstLine="540"/>
        <w:jc w:val="both"/>
      </w:pPr>
      <w:r>
        <w:rPr>
          <w:sz w:val="24"/>
        </w:rPr>
        <w:t xml:space="preserve">1) получение письменных объяснений;</w:t>
      </w:r>
    </w:p>
    <w:p>
      <w:pPr>
        <w:pStyle w:val="0"/>
        <w:spacing w:before="240" w:lineRule="auto"/>
        <w:ind w:firstLine="540"/>
        <w:jc w:val="both"/>
      </w:pPr>
      <w:r>
        <w:rPr>
          <w:sz w:val="24"/>
        </w:rPr>
        <w:t xml:space="preserve">2) истребование документов.</w:t>
      </w:r>
    </w:p>
    <w:p>
      <w:pPr>
        <w:pStyle w:val="0"/>
        <w:spacing w:before="240" w:lineRule="auto"/>
        <w:ind w:firstLine="540"/>
        <w:jc w:val="both"/>
      </w:pPr>
      <w:r>
        <w:rPr>
          <w:sz w:val="24"/>
        </w:rPr>
        <w:t xml:space="preserve">34. Срок проведения документарной проверки не может превышать десяти рабочих дней. На период с момента направления Министерством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Министерство, а также период с момента направления контролируемому лицу информации Министерства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Министерства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Министерство исчисление срока проведения документарной проверки приостанавливается.</w:t>
      </w:r>
    </w:p>
    <w:p>
      <w:pPr>
        <w:pStyle w:val="0"/>
        <w:spacing w:before="240" w:lineRule="auto"/>
        <w:ind w:firstLine="540"/>
        <w:jc w:val="both"/>
      </w:pPr>
      <w:r>
        <w:rPr>
          <w:sz w:val="24"/>
        </w:rPr>
        <w:t xml:space="preserve">35. Выездная проверка проводится в порядке, предусмотренном </w:t>
      </w:r>
      <w:r>
        <w:rPr>
          <w:sz w:val="24"/>
        </w:rPr>
        <w:t xml:space="preserve">статьёй 73</w:t>
      </w:r>
      <w:r>
        <w:rPr>
          <w:sz w:val="24"/>
        </w:rPr>
        <w:t xml:space="preserve"> Федерального закона N 248-ФЗ.</w:t>
      </w:r>
    </w:p>
    <w:p>
      <w:pPr>
        <w:pStyle w:val="0"/>
        <w:spacing w:before="240" w:lineRule="auto"/>
        <w:ind w:firstLine="540"/>
        <w:jc w:val="both"/>
      </w:pPr>
      <w:r>
        <w:rPr>
          <w:sz w:val="24"/>
        </w:rPr>
        <w:t xml:space="preserve">36. Выездные проверки проводятся должностными лицами Министерства путем совершения следующих контрольных (надзорных) действий:</w:t>
      </w:r>
    </w:p>
    <w:p>
      <w:pPr>
        <w:pStyle w:val="0"/>
        <w:spacing w:before="240" w:lineRule="auto"/>
        <w:ind w:firstLine="540"/>
        <w:jc w:val="both"/>
      </w:pPr>
      <w:r>
        <w:rPr>
          <w:sz w:val="24"/>
        </w:rPr>
        <w:t xml:space="preserve">1) осмотр;</w:t>
      </w:r>
    </w:p>
    <w:p>
      <w:pPr>
        <w:pStyle w:val="0"/>
        <w:spacing w:before="240" w:lineRule="auto"/>
        <w:ind w:firstLine="540"/>
        <w:jc w:val="both"/>
      </w:pPr>
      <w:r>
        <w:rPr>
          <w:sz w:val="24"/>
        </w:rPr>
        <w:t xml:space="preserve">2) опрос;</w:t>
      </w:r>
    </w:p>
    <w:p>
      <w:pPr>
        <w:pStyle w:val="0"/>
        <w:spacing w:before="240" w:lineRule="auto"/>
        <w:ind w:firstLine="540"/>
        <w:jc w:val="both"/>
      </w:pPr>
      <w:r>
        <w:rPr>
          <w:sz w:val="24"/>
        </w:rPr>
        <w:t xml:space="preserve">3) получение письменных объяснений;</w:t>
      </w:r>
    </w:p>
    <w:p>
      <w:pPr>
        <w:pStyle w:val="0"/>
        <w:spacing w:before="240" w:lineRule="auto"/>
        <w:ind w:firstLine="540"/>
        <w:jc w:val="both"/>
      </w:pPr>
      <w:r>
        <w:rPr>
          <w:sz w:val="24"/>
        </w:rPr>
        <w:t xml:space="preserve">4) истребование документов.</w:t>
      </w:r>
    </w:p>
    <w:p>
      <w:pPr>
        <w:pStyle w:val="0"/>
        <w:spacing w:before="240" w:lineRule="auto"/>
        <w:ind w:firstLine="540"/>
        <w:jc w:val="both"/>
      </w:pPr>
      <w:r>
        <w:rPr>
          <w:sz w:val="24"/>
        </w:rPr>
        <w:t xml:space="preserve">37.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pPr>
        <w:pStyle w:val="0"/>
        <w:spacing w:before="240" w:lineRule="auto"/>
        <w:ind w:firstLine="540"/>
        <w:jc w:val="both"/>
      </w:pPr>
      <w:r>
        <w:rPr>
          <w:sz w:val="24"/>
        </w:rPr>
        <w:t xml:space="preserve">38. 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w:t>
      </w:r>
    </w:p>
    <w:p>
      <w:pPr>
        <w:pStyle w:val="0"/>
        <w:spacing w:before="240" w:lineRule="auto"/>
        <w:ind w:firstLine="540"/>
        <w:jc w:val="both"/>
      </w:pPr>
      <w:r>
        <w:rPr>
          <w:sz w:val="24"/>
        </w:rPr>
        <w:t xml:space="preserve">39. При проведении контрольных (надзорных) мероприятий и совершении контрольных (надзорных) действий, которые в соответствии с требованиями Федерального </w:t>
      </w:r>
      <w:r>
        <w:rPr>
          <w:sz w:val="24"/>
        </w:rPr>
        <w:t xml:space="preserve">закона</w:t>
      </w:r>
      <w:r>
        <w:rPr>
          <w:sz w:val="24"/>
        </w:rPr>
        <w:t xml:space="preserve"> N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Министерству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40" w:lineRule="auto"/>
        <w:ind w:firstLine="540"/>
        <w:jc w:val="both"/>
      </w:pPr>
      <w:r>
        <w:rPr>
          <w:sz w:val="24"/>
        </w:rPr>
        <w:t xml:space="preserve">40. В случаях проведения контрольных (надзорных) мероприятий, предусмотренных </w:t>
      </w:r>
      <w:hyperlink w:history="0" w:anchor="P93" w:tooltip="19. Муниципальный контроль осуществляется посредством проведения следующих контрольных (надзорных) мероприятий:">
        <w:r>
          <w:rPr>
            <w:sz w:val="24"/>
            <w:color w:val="0000ff"/>
          </w:rPr>
          <w:t xml:space="preserve">пунктом 19</w:t>
        </w:r>
      </w:hyperlink>
      <w:r>
        <w:rPr>
          <w:sz w:val="24"/>
        </w:rPr>
        <w:t xml:space="preserve"> настоящего Положения, для фиксации доказательств нарушений обязательных требований должностными лицами Министерства и лицами, привлекаемыми к совершению контрольных (надзорных) действий, могут использоваться фотосъемка, аудио- и видеозапись.</w:t>
      </w:r>
    </w:p>
    <w:p>
      <w:pPr>
        <w:pStyle w:val="0"/>
        <w:spacing w:before="240" w:lineRule="auto"/>
        <w:ind w:firstLine="540"/>
        <w:jc w:val="both"/>
      </w:pPr>
      <w:r>
        <w:rPr>
          <w:sz w:val="24"/>
        </w:rPr>
        <w:t xml:space="preserve">41. Доказательства нарушений обязательных требований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приобщаются к акту контрольного (надзорного) мероприятия.</w:t>
      </w:r>
    </w:p>
    <w:p>
      <w:pPr>
        <w:pStyle w:val="0"/>
        <w:spacing w:before="240" w:lineRule="auto"/>
        <w:ind w:firstLine="540"/>
        <w:jc w:val="both"/>
      </w:pPr>
      <w:r>
        <w:rPr>
          <w:sz w:val="24"/>
        </w:rPr>
        <w:t xml:space="preserve">42.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pPr>
        <w:pStyle w:val="0"/>
        <w:spacing w:before="240" w:lineRule="auto"/>
        <w:ind w:firstLine="540"/>
        <w:jc w:val="both"/>
      </w:pPr>
      <w:r>
        <w:rPr>
          <w:sz w:val="24"/>
        </w:rPr>
        <w:t xml:space="preserve">43. 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pPr>
        <w:pStyle w:val="0"/>
        <w:spacing w:before="240" w:lineRule="auto"/>
        <w:ind w:firstLine="540"/>
        <w:jc w:val="both"/>
      </w:pPr>
      <w:r>
        <w:rPr>
          <w:sz w:val="24"/>
        </w:rPr>
        <w:t xml:space="preserve">44. 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аудио- и видеозаписи.</w:t>
      </w:r>
    </w:p>
    <w:p>
      <w:pPr>
        <w:pStyle w:val="0"/>
        <w:spacing w:before="240" w:lineRule="auto"/>
        <w:ind w:firstLine="540"/>
        <w:jc w:val="both"/>
      </w:pPr>
      <w:r>
        <w:rPr>
          <w:sz w:val="24"/>
        </w:rPr>
        <w:t xml:space="preserve">45. В ходе аудио- и видеозаписи фиксируются и указываются место и характер выявленного нарушения обязательных требований.</w:t>
      </w:r>
    </w:p>
    <w:p>
      <w:pPr>
        <w:pStyle w:val="0"/>
        <w:spacing w:before="240" w:lineRule="auto"/>
        <w:ind w:firstLine="540"/>
        <w:jc w:val="both"/>
      </w:pPr>
      <w:r>
        <w:rPr>
          <w:sz w:val="24"/>
        </w:rPr>
        <w:t xml:space="preserve">46. 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0"/>
        <w:spacing w:before="240" w:lineRule="auto"/>
        <w:ind w:firstLine="540"/>
        <w:jc w:val="both"/>
      </w:pPr>
      <w:r>
        <w:rPr>
          <w:sz w:val="24"/>
        </w:rPr>
        <w:t xml:space="preserve">47. Индивидуальный предприниматель, являющийся контролируемым лицом, вправе представить в Министерство информацию о невозможности присутствия при проведении контрольного (надзорного) мероприятия в случаях:</w:t>
      </w:r>
    </w:p>
    <w:p>
      <w:pPr>
        <w:pStyle w:val="0"/>
        <w:spacing w:before="240" w:lineRule="auto"/>
        <w:ind w:firstLine="540"/>
        <w:jc w:val="both"/>
      </w:pPr>
      <w:r>
        <w:rPr>
          <w:sz w:val="24"/>
        </w:rPr>
        <w:t xml:space="preserve">1) заболевания, связанного с утратой трудоспособности;</w:t>
      </w:r>
    </w:p>
    <w:p>
      <w:pPr>
        <w:pStyle w:val="0"/>
        <w:spacing w:before="240" w:lineRule="auto"/>
        <w:ind w:firstLine="540"/>
        <w:jc w:val="both"/>
      </w:pPr>
      <w:r>
        <w:rPr>
          <w:sz w:val="24"/>
        </w:rPr>
        <w:t xml:space="preserve">2) препятствия, возникшего в результате действия непреодолимой силы.</w:t>
      </w:r>
    </w:p>
    <w:p>
      <w:pPr>
        <w:pStyle w:val="0"/>
        <w:spacing w:before="240" w:lineRule="auto"/>
        <w:ind w:firstLine="540"/>
        <w:jc w:val="both"/>
      </w:pPr>
      <w:r>
        <w:rPr>
          <w:sz w:val="24"/>
        </w:rPr>
        <w:t xml:space="preserve">48. По результатам рассмотрения указанной информации проведение контрольного (надзорного) мероприятия переносится Министерством на срок, необходимый для устранения обстоятельств, послуживших поводом для обращения индивидуального предпринимателя.</w:t>
      </w:r>
    </w:p>
    <w:p>
      <w:pPr>
        <w:pStyle w:val="0"/>
        <w:jc w:val="both"/>
      </w:pPr>
      <w:r>
        <w:rPr>
          <w:sz w:val="24"/>
        </w:rPr>
      </w:r>
    </w:p>
    <w:p>
      <w:pPr>
        <w:pStyle w:val="2"/>
        <w:outlineLvl w:val="1"/>
        <w:jc w:val="center"/>
      </w:pPr>
      <w:r>
        <w:rPr>
          <w:sz w:val="24"/>
        </w:rPr>
        <w:t xml:space="preserve">IV. Результаты контрольного (надзорного) мероприятия</w:t>
      </w:r>
    </w:p>
    <w:p>
      <w:pPr>
        <w:pStyle w:val="0"/>
        <w:jc w:val="both"/>
      </w:pPr>
      <w:r>
        <w:rPr>
          <w:sz w:val="24"/>
        </w:rPr>
      </w:r>
    </w:p>
    <w:p>
      <w:pPr>
        <w:pStyle w:val="0"/>
        <w:ind w:firstLine="540"/>
        <w:jc w:val="both"/>
      </w:pPr>
      <w:r>
        <w:rPr>
          <w:sz w:val="24"/>
        </w:rPr>
        <w:t xml:space="preserve">49. Результаты контрольного (надзорного) мероприятия оформляются в порядке, предусмотренном </w:t>
      </w:r>
      <w:r>
        <w:rPr>
          <w:sz w:val="24"/>
        </w:rPr>
        <w:t xml:space="preserve">главой 16</w:t>
      </w:r>
      <w:r>
        <w:rPr>
          <w:sz w:val="24"/>
        </w:rPr>
        <w:t xml:space="preserve"> Федерального закона N 248-ФЗ.</w:t>
      </w:r>
    </w:p>
    <w:p>
      <w:pPr>
        <w:pStyle w:val="0"/>
        <w:spacing w:before="240" w:lineRule="auto"/>
        <w:ind w:firstLine="540"/>
        <w:jc w:val="both"/>
      </w:pPr>
      <w:r>
        <w:rPr>
          <w:sz w:val="24"/>
        </w:rPr>
        <w:t xml:space="preserve">50. В случае выявления при проведении контрольного (надзорного) мероприятия нарушений обязательных требований контролируемым лицом Министерство в пределах полномочий, предусмотренных законодательством Российской Федерации, принимает решения, предусмотренные </w:t>
      </w:r>
      <w:r>
        <w:rPr>
          <w:sz w:val="24"/>
        </w:rPr>
        <w:t xml:space="preserve">статьей 90</w:t>
      </w:r>
      <w:r>
        <w:rPr>
          <w:sz w:val="24"/>
        </w:rPr>
        <w:t xml:space="preserve"> Федерального закона N 248-ФЗ.</w:t>
      </w:r>
    </w:p>
    <w:p>
      <w:pPr>
        <w:pStyle w:val="0"/>
        <w:spacing w:before="240" w:lineRule="auto"/>
        <w:ind w:firstLine="540"/>
        <w:jc w:val="both"/>
      </w:pPr>
      <w:r>
        <w:rPr>
          <w:sz w:val="24"/>
        </w:rPr>
        <w:t xml:space="preserve">51. Предписание об устранении выявленных нарушений обязательных требований (далее именуется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в соответствии с требованиями </w:t>
      </w:r>
      <w:r>
        <w:rPr>
          <w:sz w:val="24"/>
        </w:rPr>
        <w:t xml:space="preserve">статьи 90.1</w:t>
      </w:r>
      <w:r>
        <w:rPr>
          <w:sz w:val="24"/>
        </w:rPr>
        <w:t xml:space="preserve"> Федерального закона N 248-ФЗ.</w:t>
      </w:r>
    </w:p>
    <w:p>
      <w:pPr>
        <w:pStyle w:val="0"/>
        <w:jc w:val="both"/>
      </w:pPr>
      <w:r>
        <w:rPr>
          <w:sz w:val="24"/>
        </w:rPr>
      </w:r>
    </w:p>
    <w:p>
      <w:pPr>
        <w:pStyle w:val="2"/>
        <w:outlineLvl w:val="1"/>
        <w:jc w:val="center"/>
      </w:pPr>
      <w:r>
        <w:rPr>
          <w:sz w:val="24"/>
        </w:rPr>
        <w:t xml:space="preserve">V. Требования к досудебному порядку подачи жалобы</w:t>
      </w:r>
    </w:p>
    <w:p>
      <w:pPr>
        <w:pStyle w:val="0"/>
        <w:jc w:val="both"/>
      </w:pPr>
      <w:r>
        <w:rPr>
          <w:sz w:val="24"/>
        </w:rPr>
      </w:r>
    </w:p>
    <w:p>
      <w:pPr>
        <w:pStyle w:val="0"/>
        <w:ind w:firstLine="540"/>
        <w:jc w:val="both"/>
      </w:pPr>
      <w:r>
        <w:rPr>
          <w:sz w:val="24"/>
        </w:rPr>
        <w:t xml:space="preserve">52. Решения и действия (бездействие) должностных лиц Министерства могут быть обжалованы в порядке, установленном законодательством Российской Федерации.</w:t>
      </w:r>
    </w:p>
    <w:p>
      <w:pPr>
        <w:pStyle w:val="0"/>
        <w:spacing w:before="240" w:lineRule="auto"/>
        <w:ind w:firstLine="540"/>
        <w:jc w:val="both"/>
      </w:pPr>
      <w:r>
        <w:rPr>
          <w:sz w:val="24"/>
        </w:rPr>
        <w:t xml:space="preserve">53.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pPr>
        <w:pStyle w:val="0"/>
        <w:spacing w:before="240" w:lineRule="auto"/>
        <w:ind w:firstLine="540"/>
        <w:jc w:val="both"/>
      </w:pPr>
      <w:r>
        <w:rPr>
          <w:sz w:val="24"/>
        </w:rPr>
        <w:t xml:space="preserve">1) решений о проведении контрольных (надзорных) мероприятий;</w:t>
      </w:r>
    </w:p>
    <w:p>
      <w:pPr>
        <w:pStyle w:val="0"/>
        <w:spacing w:before="240" w:lineRule="auto"/>
        <w:ind w:firstLine="540"/>
        <w:jc w:val="both"/>
      </w:pPr>
      <w:r>
        <w:rPr>
          <w:sz w:val="24"/>
        </w:rPr>
        <w:t xml:space="preserve">2) актов контрольных (надзорных) мероприятий и обязательных профилактических визитов, предписаний;</w:t>
      </w:r>
    </w:p>
    <w:p>
      <w:pPr>
        <w:pStyle w:val="0"/>
        <w:spacing w:before="240" w:lineRule="auto"/>
        <w:ind w:firstLine="540"/>
        <w:jc w:val="both"/>
      </w:pPr>
      <w:r>
        <w:rPr>
          <w:sz w:val="24"/>
        </w:rPr>
        <w:t xml:space="preserve">3) действий (бездействия) должностных лиц Министерства в рамках контрольных (надзорных) мероприятий и обязательных профилактических визитов;</w:t>
      </w:r>
    </w:p>
    <w:p>
      <w:pPr>
        <w:pStyle w:val="0"/>
        <w:spacing w:before="240" w:lineRule="auto"/>
        <w:ind w:firstLine="540"/>
        <w:jc w:val="both"/>
      </w:pPr>
      <w:r>
        <w:rPr>
          <w:sz w:val="24"/>
        </w:rPr>
        <w:t xml:space="preserve">4) решений об отнесении объектов муниципального контроля к соответствующей категории риска;</w:t>
      </w:r>
    </w:p>
    <w:p>
      <w:pPr>
        <w:pStyle w:val="0"/>
        <w:spacing w:before="240" w:lineRule="auto"/>
        <w:ind w:firstLine="540"/>
        <w:jc w:val="both"/>
      </w:pPr>
      <w:r>
        <w:rPr>
          <w:sz w:val="24"/>
        </w:rPr>
        <w:t xml:space="preserve">5) решений об отказе в проведении обязательных профилактических визитов по заявлениям контролируемых лиц;</w:t>
      </w:r>
    </w:p>
    <w:p>
      <w:pPr>
        <w:pStyle w:val="0"/>
        <w:spacing w:before="240" w:lineRule="auto"/>
        <w:ind w:firstLine="540"/>
        <w:jc w:val="both"/>
      </w:pPr>
      <w:r>
        <w:rPr>
          <w:sz w:val="24"/>
        </w:rPr>
        <w:t xml:space="preserve">6) иных решений, принимаемых Министерством по итогам контрольных (надзорных) мероприятий, предусмотренных Федеральным </w:t>
      </w:r>
      <w:r>
        <w:rPr>
          <w:sz w:val="24"/>
        </w:rPr>
        <w:t xml:space="preserve">законом</w:t>
      </w:r>
      <w:r>
        <w:rPr>
          <w:sz w:val="24"/>
        </w:rPr>
        <w:t xml:space="preserve"> N 248-ФЗ, в отношении контролируемых лиц или объектов муниципального контроля.</w:t>
      </w:r>
    </w:p>
    <w:p>
      <w:pPr>
        <w:pStyle w:val="0"/>
        <w:spacing w:before="240" w:lineRule="auto"/>
        <w:ind w:firstLine="540"/>
        <w:jc w:val="both"/>
      </w:pPr>
      <w:r>
        <w:rPr>
          <w:sz w:val="24"/>
        </w:rPr>
        <w:t xml:space="preserve">54. Жалоба на решение и действия (бездействие) должностных лиц Министерства может быть подана в течение 30 календарных дней со дня, когда контролируемое лицо узнало или должно было узнать о нарушении своих прав.</w:t>
      </w:r>
    </w:p>
    <w:p>
      <w:pPr>
        <w:pStyle w:val="0"/>
        <w:spacing w:before="240" w:lineRule="auto"/>
        <w:ind w:firstLine="540"/>
        <w:jc w:val="both"/>
      </w:pPr>
      <w:r>
        <w:rPr>
          <w:sz w:val="24"/>
        </w:rPr>
        <w:t xml:space="preserve">55. Жалоба на предписание может быть подана в течение десяти рабочих дней с момента получения контролируемым лицом предписания.</w:t>
      </w:r>
    </w:p>
    <w:p>
      <w:pPr>
        <w:pStyle w:val="0"/>
        <w:spacing w:before="240" w:lineRule="auto"/>
        <w:ind w:firstLine="540"/>
        <w:jc w:val="both"/>
      </w:pPr>
      <w:r>
        <w:rPr>
          <w:sz w:val="24"/>
        </w:rPr>
        <w:t xml:space="preserve">56. В случае пропуска по уважительной причине срока подачи жалобы этот срок по ходатайству контролируемого лица, подающего жалобу, может быть восстановлен уполномоченным на рассмотрение жалобы должностным лицом, определяемым в соответствии с </w:t>
      </w:r>
      <w:hyperlink w:history="0" w:anchor="P171" w:tooltip="59. Жалобы на решения, действия (бездействие) должностных лиц Министерства, указанных в подпункте 3 пункта 4 настоящего Положения, рассматриваются Министром.">
        <w:r>
          <w:rPr>
            <w:sz w:val="24"/>
            <w:color w:val="0000ff"/>
          </w:rPr>
          <w:t xml:space="preserve">пунктом 59</w:t>
        </w:r>
      </w:hyperlink>
      <w:r>
        <w:rPr>
          <w:sz w:val="24"/>
        </w:rPr>
        <w:t xml:space="preserve"> настоящего Положения.</w:t>
      </w:r>
    </w:p>
    <w:p>
      <w:pPr>
        <w:pStyle w:val="0"/>
        <w:spacing w:before="240" w:lineRule="auto"/>
        <w:ind w:firstLine="540"/>
        <w:jc w:val="both"/>
      </w:pPr>
      <w:r>
        <w:rPr>
          <w:sz w:val="24"/>
        </w:rPr>
        <w:t xml:space="preserve">57. Жалоба подается контролируемым лицом в Министерство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именуется - единый портал государственных и муниципальных услуг), за исключением случая, предусмотренного </w:t>
      </w:r>
      <w:hyperlink w:history="0" w:anchor="P170" w:tooltip="58. Жалоба, содержащая сведения и документы, составляющие государственную или иную охраняемую законом тайну, подается контролируемым лицом в Министерство без использования единого портала государственных и муниципальных услуг на бумажном носителе с учетом требований законодательства Российской Федерации о государственной и иной охраняемой законом тайне.">
        <w:r>
          <w:rPr>
            <w:sz w:val="24"/>
            <w:color w:val="0000ff"/>
          </w:rPr>
          <w:t xml:space="preserve">пунктом 58</w:t>
        </w:r>
      </w:hyperlink>
      <w:r>
        <w:rPr>
          <w:sz w:val="24"/>
        </w:rPr>
        <w:t xml:space="preserve"> настоящего Положения.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bookmarkStart w:id="170" w:name="P170"/>
    <w:bookmarkEnd w:id="170"/>
    <w:p>
      <w:pPr>
        <w:pStyle w:val="0"/>
        <w:spacing w:before="240" w:lineRule="auto"/>
        <w:ind w:firstLine="540"/>
        <w:jc w:val="both"/>
      </w:pPr>
      <w:r>
        <w:rPr>
          <w:sz w:val="24"/>
        </w:rPr>
        <w:t xml:space="preserve">58. Жалоба, содержащая сведения и документы, составляющие государственную или иную охраняемую законом тайну, подается контролируемым лицом в Министерство без использования единого портала государственных и муниципальных услуг на бумажном носителе с учетом требований законодательства Российской Федерации о государственной и иной охраняемой законом тайне.</w:t>
      </w:r>
    </w:p>
    <w:bookmarkStart w:id="171" w:name="P171"/>
    <w:bookmarkEnd w:id="171"/>
    <w:p>
      <w:pPr>
        <w:pStyle w:val="0"/>
        <w:spacing w:before="240" w:lineRule="auto"/>
        <w:ind w:firstLine="540"/>
        <w:jc w:val="both"/>
      </w:pPr>
      <w:r>
        <w:rPr>
          <w:sz w:val="24"/>
        </w:rPr>
        <w:t xml:space="preserve">59. Жалобы на решения, действия (бездействие) должностных лиц Министерства, указанных в </w:t>
      </w:r>
      <w:hyperlink w:history="0" w:anchor="P53" w:tooltip="3) государственные гражданские служащие Челябинской области и работники, не являющиеся государственными гражданскими служащими Челябинской области, отдела транспортного и линейного контроля Министерства, к должностным обязанностям которых отнесено осуществление муниципального контроля.">
        <w:r>
          <w:rPr>
            <w:sz w:val="24"/>
            <w:color w:val="0000ff"/>
          </w:rPr>
          <w:t xml:space="preserve">подпункте 3 пункта 4</w:t>
        </w:r>
      </w:hyperlink>
      <w:r>
        <w:rPr>
          <w:sz w:val="24"/>
        </w:rPr>
        <w:t xml:space="preserve"> настоящего Положения, рассматриваются Министром.</w:t>
      </w:r>
    </w:p>
    <w:p>
      <w:pPr>
        <w:pStyle w:val="0"/>
        <w:spacing w:before="240" w:lineRule="auto"/>
        <w:ind w:firstLine="540"/>
        <w:jc w:val="both"/>
      </w:pPr>
      <w:r>
        <w:rPr>
          <w:sz w:val="24"/>
        </w:rPr>
        <w:t xml:space="preserve">Жалобы на решения, действия (бездействие) должностных лиц Министерства, указанных в </w:t>
      </w:r>
      <w:hyperlink w:history="0" w:anchor="P51" w:tooltip="1) Министр дорожного хозяйства и транспорта Челябинской области (далее именуется - Министр);">
        <w:r>
          <w:rPr>
            <w:sz w:val="24"/>
            <w:color w:val="0000ff"/>
          </w:rPr>
          <w:t xml:space="preserve">подпунктах 1</w:t>
        </w:r>
      </w:hyperlink>
      <w:r>
        <w:rPr>
          <w:sz w:val="24"/>
        </w:rPr>
        <w:t xml:space="preserve">, </w:t>
      </w:r>
      <w:hyperlink w:history="0" w:anchor="P52" w:tooltip="2) заместитель Министра;">
        <w:r>
          <w:rPr>
            <w:sz w:val="24"/>
            <w:color w:val="0000ff"/>
          </w:rPr>
          <w:t xml:space="preserve">2 пункта 4</w:t>
        </w:r>
      </w:hyperlink>
      <w:r>
        <w:rPr>
          <w:sz w:val="24"/>
        </w:rPr>
        <w:t xml:space="preserve"> настоящего Положения, рассматриваются Губернатором Челябинской области.</w:t>
      </w:r>
    </w:p>
    <w:p>
      <w:pPr>
        <w:pStyle w:val="0"/>
        <w:spacing w:before="240" w:lineRule="auto"/>
        <w:ind w:firstLine="540"/>
        <w:jc w:val="both"/>
      </w:pPr>
      <w:r>
        <w:rPr>
          <w:sz w:val="24"/>
        </w:rPr>
        <w:t xml:space="preserve">60. Уполномоченное на рассмотрение жалобы должностное лицо при рассмотрении жалобы использует подсистему государственной информационной системы досудебного обжалования (далее именуется - подсистема досудебного обжалования),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pPr>
        <w:pStyle w:val="0"/>
        <w:spacing w:before="240" w:lineRule="auto"/>
        <w:ind w:firstLine="540"/>
        <w:jc w:val="both"/>
      </w:pPr>
      <w:r>
        <w:rPr>
          <w:sz w:val="24"/>
        </w:rPr>
        <w:t xml:space="preserve">Рассмотрение жалобы, содержащей сведения и документы, составляющие государственную или иную охраняемую законом тайну, осуществляется уполномоченным на рассмотрение жалобы должностным лицом без использования подсистемы досудебного обжалования с соблюдением требований законодательства Российской Федерации о государственной или иной охраняемой законом тайне.</w:t>
      </w:r>
    </w:p>
    <w:p>
      <w:pPr>
        <w:pStyle w:val="0"/>
        <w:spacing w:before="240" w:lineRule="auto"/>
        <w:ind w:firstLine="540"/>
        <w:jc w:val="both"/>
      </w:pPr>
      <w:r>
        <w:rPr>
          <w:sz w:val="24"/>
        </w:rPr>
        <w:t xml:space="preserve">61. Уполномоченные на рассмотрение жалоб должностные лица должны обеспечить передачу в подсистему досудебного обжалования сведений о ходе рассмотрения жалоб.</w:t>
      </w:r>
    </w:p>
    <w:p>
      <w:pPr>
        <w:pStyle w:val="0"/>
        <w:spacing w:before="240" w:lineRule="auto"/>
        <w:ind w:firstLine="540"/>
        <w:jc w:val="both"/>
      </w:pPr>
      <w:r>
        <w:rPr>
          <w:sz w:val="24"/>
        </w:rPr>
        <w:t xml:space="preserve">62. Жалоба подлежит рассмотрению в течение пятнадцати рабочих дней со дня ее регистрации в подсистеме досудебного обжалования.</w:t>
      </w:r>
    </w:p>
    <w:p>
      <w:pPr>
        <w:pStyle w:val="0"/>
        <w:spacing w:before="240" w:lineRule="auto"/>
        <w:ind w:firstLine="540"/>
        <w:jc w:val="both"/>
      </w:pPr>
      <w:r>
        <w:rPr>
          <w:sz w:val="24"/>
        </w:rPr>
        <w:t xml:space="preserve">63. Жалоба контролируемого лица на решение об отнесении объектов муниципального контроля к соответствующей категории риска рассматривается в срок не более пяти рабочих дней.</w:t>
      </w:r>
    </w:p>
    <w:p>
      <w:pPr>
        <w:pStyle w:val="0"/>
        <w:spacing w:before="240" w:lineRule="auto"/>
        <w:ind w:firstLine="540"/>
        <w:jc w:val="both"/>
      </w:pPr>
      <w:r>
        <w:rPr>
          <w:sz w:val="24"/>
        </w:rPr>
        <w:t xml:space="preserve">64. Уполномоченное на рассмотрение жалобы должностное лицо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40" w:lineRule="auto"/>
        <w:ind w:firstLine="540"/>
        <w:jc w:val="both"/>
      </w:pPr>
      <w:r>
        <w:rPr>
          <w:sz w:val="24"/>
        </w:rPr>
        <w:t xml:space="preserve">65. Не допускается запрашивать у контролируемого лица, подавшего жалобу, информацию и документы, которые находятся в распоряжении государственных органов либо подведомственных им организаций.</w:t>
      </w:r>
    </w:p>
    <w:p>
      <w:pPr>
        <w:pStyle w:val="0"/>
        <w:spacing w:before="240" w:lineRule="auto"/>
        <w:ind w:firstLine="540"/>
        <w:jc w:val="both"/>
      </w:pPr>
      <w:r>
        <w:rPr>
          <w:sz w:val="24"/>
        </w:rPr>
        <w:t xml:space="preserve">66.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spacing w:before="240" w:lineRule="auto"/>
        <w:ind w:firstLine="540"/>
        <w:jc w:val="both"/>
      </w:pPr>
      <w:r>
        <w:rPr>
          <w:sz w:val="24"/>
        </w:rPr>
        <w:t xml:space="preserve">67. По итогам рассмотрения жалобы уполномоченное на рассмотрение жалобы должностное лицо принимает одно из следующих решений:</w:t>
      </w:r>
    </w:p>
    <w:p>
      <w:pPr>
        <w:pStyle w:val="0"/>
        <w:spacing w:before="240" w:lineRule="auto"/>
        <w:ind w:firstLine="540"/>
        <w:jc w:val="both"/>
      </w:pPr>
      <w:r>
        <w:rPr>
          <w:sz w:val="24"/>
        </w:rPr>
        <w:t xml:space="preserve">1) оставляет жалобу без удовлетворения;</w:t>
      </w:r>
    </w:p>
    <w:p>
      <w:pPr>
        <w:pStyle w:val="0"/>
        <w:spacing w:before="240" w:lineRule="auto"/>
        <w:ind w:firstLine="540"/>
        <w:jc w:val="both"/>
      </w:pPr>
      <w:r>
        <w:rPr>
          <w:sz w:val="24"/>
        </w:rPr>
        <w:t xml:space="preserve">2) отменяет решение Министерства полностью или частично;</w:t>
      </w:r>
    </w:p>
    <w:p>
      <w:pPr>
        <w:pStyle w:val="0"/>
        <w:spacing w:before="240" w:lineRule="auto"/>
        <w:ind w:firstLine="540"/>
        <w:jc w:val="both"/>
      </w:pPr>
      <w:r>
        <w:rPr>
          <w:sz w:val="24"/>
        </w:rPr>
        <w:t xml:space="preserve">3) отменяет решение Министерства полностью и принимает новое решение;</w:t>
      </w:r>
    </w:p>
    <w:p>
      <w:pPr>
        <w:pStyle w:val="0"/>
        <w:spacing w:before="240" w:lineRule="auto"/>
        <w:ind w:firstLine="540"/>
        <w:jc w:val="both"/>
      </w:pPr>
      <w:r>
        <w:rPr>
          <w:sz w:val="24"/>
        </w:rPr>
        <w:t xml:space="preserve">4) признает действия (бездействие) должностных лиц Министерства незаконными и выносит решение по существу, в том числе об осуществлении при необходимости определенных действий.</w:t>
      </w:r>
    </w:p>
    <w:p>
      <w:pPr>
        <w:pStyle w:val="0"/>
        <w:spacing w:before="240" w:lineRule="auto"/>
        <w:ind w:firstLine="540"/>
        <w:jc w:val="both"/>
      </w:pPr>
      <w:r>
        <w:rPr>
          <w:sz w:val="24"/>
        </w:rPr>
        <w:t xml:space="preserve">68. Решение уполномоченного на рассмотрение жалобы должностного лица,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w:t>
      </w:r>
    </w:p>
    <w:p>
      <w:pPr>
        <w:pStyle w:val="0"/>
        <w:jc w:val="right"/>
      </w:pPr>
      <w:r>
        <w:rPr>
          <w:sz w:val="24"/>
        </w:rPr>
        <w:t xml:space="preserve">о муниципальном контроле</w:t>
      </w:r>
    </w:p>
    <w:p>
      <w:pPr>
        <w:pStyle w:val="0"/>
        <w:jc w:val="right"/>
      </w:pPr>
      <w:r>
        <w:rPr>
          <w:sz w:val="24"/>
        </w:rPr>
        <w:t xml:space="preserve">на автомобильном транспорте,</w:t>
      </w:r>
    </w:p>
    <w:p>
      <w:pPr>
        <w:pStyle w:val="0"/>
        <w:jc w:val="right"/>
      </w:pPr>
      <w:r>
        <w:rPr>
          <w:sz w:val="24"/>
        </w:rPr>
        <w:t xml:space="preserve">городском наземном</w:t>
      </w:r>
    </w:p>
    <w:p>
      <w:pPr>
        <w:pStyle w:val="0"/>
        <w:jc w:val="right"/>
      </w:pPr>
      <w:r>
        <w:rPr>
          <w:sz w:val="24"/>
        </w:rPr>
        <w:t xml:space="preserve">электрическом транспорте</w:t>
      </w:r>
    </w:p>
    <w:p>
      <w:pPr>
        <w:pStyle w:val="0"/>
        <w:jc w:val="right"/>
      </w:pPr>
      <w:r>
        <w:rPr>
          <w:sz w:val="24"/>
        </w:rPr>
        <w:t xml:space="preserve">и в дорожном хозяйстве</w:t>
      </w:r>
    </w:p>
    <w:p>
      <w:pPr>
        <w:pStyle w:val="0"/>
        <w:jc w:val="both"/>
      </w:pPr>
      <w:r>
        <w:rPr>
          <w:sz w:val="24"/>
        </w:rPr>
      </w:r>
    </w:p>
    <w:bookmarkStart w:id="200" w:name="P200"/>
    <w:bookmarkEnd w:id="200"/>
    <w:p>
      <w:pPr>
        <w:pStyle w:val="2"/>
        <w:jc w:val="center"/>
      </w:pPr>
      <w:r>
        <w:rPr>
          <w:sz w:val="24"/>
        </w:rPr>
        <w:t xml:space="preserve">Критерии</w:t>
      </w:r>
    </w:p>
    <w:p>
      <w:pPr>
        <w:pStyle w:val="2"/>
        <w:jc w:val="center"/>
      </w:pPr>
      <w:r>
        <w:rPr>
          <w:sz w:val="24"/>
        </w:rPr>
        <w:t xml:space="preserve">отнесения объектов муниципального контроля</w:t>
      </w:r>
    </w:p>
    <w:p>
      <w:pPr>
        <w:pStyle w:val="2"/>
        <w:jc w:val="center"/>
      </w:pPr>
      <w:r>
        <w:rPr>
          <w:sz w:val="24"/>
        </w:rPr>
        <w:t xml:space="preserve">к категориям риска причинения вреда (ущерба)</w:t>
      </w:r>
    </w:p>
    <w:p>
      <w:pPr>
        <w:pStyle w:val="2"/>
        <w:jc w:val="center"/>
      </w:pPr>
      <w:r>
        <w:rPr>
          <w:sz w:val="24"/>
        </w:rPr>
        <w:t xml:space="preserve">охраняемым законом ценностям</w:t>
      </w:r>
    </w:p>
    <w:p>
      <w:pPr>
        <w:pStyle w:val="0"/>
        <w:jc w:val="both"/>
      </w:pPr>
      <w:r>
        <w:rPr>
          <w:sz w:val="24"/>
        </w:rPr>
      </w:r>
    </w:p>
    <w:p>
      <w:pPr>
        <w:pStyle w:val="0"/>
        <w:ind w:firstLine="540"/>
        <w:jc w:val="both"/>
      </w:pPr>
      <w:r>
        <w:rPr>
          <w:sz w:val="24"/>
        </w:rPr>
        <w:t xml:space="preserve">1. Критерии отнесения объектов муниципального контроля к определенной категории риска определяются с учетом тяжести потенциальных негативных последствий возможного несоблюдения объектами муниципального контроля обязательных требований, а также с учетом вероятности несоблюдения обязательных требований и рассчитываются по формуле:</w:t>
      </w:r>
    </w:p>
    <w:p>
      <w:pPr>
        <w:pStyle w:val="0"/>
        <w:jc w:val="both"/>
      </w:pPr>
      <w:r>
        <w:rPr>
          <w:sz w:val="24"/>
        </w:rPr>
      </w:r>
    </w:p>
    <w:p>
      <w:pPr>
        <w:pStyle w:val="0"/>
        <w:jc w:val="center"/>
      </w:pPr>
      <w:r>
        <w:rPr>
          <w:sz w:val="24"/>
        </w:rPr>
        <w:t xml:space="preserve">К = К</w:t>
      </w:r>
      <w:r>
        <w:rPr>
          <w:sz w:val="24"/>
          <w:vertAlign w:val="subscript"/>
        </w:rPr>
        <w:t xml:space="preserve">1</w:t>
      </w:r>
      <w:r>
        <w:rPr>
          <w:sz w:val="24"/>
        </w:rPr>
        <w:t xml:space="preserve"> + К</w:t>
      </w:r>
      <w:r>
        <w:rPr>
          <w:sz w:val="24"/>
          <w:vertAlign w:val="subscript"/>
        </w:rPr>
        <w:t xml:space="preserve">2</w:t>
      </w:r>
      <w:r>
        <w:rPr>
          <w:sz w:val="24"/>
        </w:rPr>
        <w:t xml:space="preserve">, где:</w:t>
      </w:r>
    </w:p>
    <w:p>
      <w:pPr>
        <w:pStyle w:val="0"/>
        <w:jc w:val="both"/>
      </w:pPr>
      <w:r>
        <w:rPr>
          <w:sz w:val="24"/>
        </w:rPr>
      </w:r>
    </w:p>
    <w:p>
      <w:pPr>
        <w:pStyle w:val="0"/>
        <w:ind w:firstLine="540"/>
        <w:jc w:val="both"/>
      </w:pPr>
      <w:r>
        <w:rPr>
          <w:sz w:val="24"/>
        </w:rPr>
        <w:t xml:space="preserve">К - критерий категории риска;</w:t>
      </w:r>
    </w:p>
    <w:p>
      <w:pPr>
        <w:pStyle w:val="0"/>
        <w:spacing w:before="240" w:lineRule="auto"/>
        <w:ind w:firstLine="540"/>
        <w:jc w:val="both"/>
      </w:pPr>
      <w:r>
        <w:rPr>
          <w:sz w:val="24"/>
        </w:rPr>
        <w:t xml:space="preserve">К</w:t>
      </w:r>
      <w:r>
        <w:rPr>
          <w:sz w:val="24"/>
          <w:vertAlign w:val="subscript"/>
        </w:rPr>
        <w:t xml:space="preserve">1</w:t>
      </w:r>
      <w:r>
        <w:rPr>
          <w:sz w:val="24"/>
        </w:rPr>
        <w:t xml:space="preserve"> - критерий тяжести потенциальных негативных последствий возможного несоблюдения обязательных требований, определяемый исходя из количества у контролируемых лиц транспортных средств, указанных в свидетельстве об осуществлении перевозок по муниципальному маршруту регулярных перевозок, по состоянию на 1 января года составления ежегодного плана контрольных (надзорных) мероприятий в соответствии с таблицей.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520"/>
        <w:gridCol w:w="2551"/>
      </w:tblGrid>
      <w:tr>
        <w:tc>
          <w:tcPr>
            <w:tcW w:w="6520" w:type="dxa"/>
          </w:tcPr>
          <w:p>
            <w:pPr>
              <w:pStyle w:val="0"/>
              <w:jc w:val="center"/>
            </w:pPr>
            <w:r>
              <w:rPr>
                <w:sz w:val="24"/>
              </w:rPr>
              <w:t xml:space="preserve">Максимальное количество транспортных средств, указанных в свидетельстве об осуществлении перевозок по муниципальному маршруту регулярных перевозок</w:t>
            </w:r>
          </w:p>
        </w:tc>
        <w:tc>
          <w:tcPr>
            <w:tcW w:w="2551" w:type="dxa"/>
          </w:tcPr>
          <w:p>
            <w:pPr>
              <w:pStyle w:val="0"/>
              <w:jc w:val="center"/>
            </w:pPr>
            <w:r>
              <w:rPr>
                <w:sz w:val="24"/>
              </w:rPr>
              <w:t xml:space="preserve">Количество баллов</w:t>
            </w:r>
          </w:p>
          <w:p>
            <w:pPr>
              <w:pStyle w:val="0"/>
              <w:jc w:val="center"/>
            </w:pPr>
            <w:r>
              <w:rPr>
                <w:sz w:val="24"/>
              </w:rPr>
              <w:t xml:space="preserve">(К</w:t>
            </w:r>
            <w:r>
              <w:rPr>
                <w:sz w:val="24"/>
                <w:vertAlign w:val="subscript"/>
              </w:rPr>
              <w:t xml:space="preserve">1</w:t>
            </w:r>
            <w:r>
              <w:rPr>
                <w:sz w:val="24"/>
              </w:rPr>
              <w:t xml:space="preserve">)</w:t>
            </w:r>
          </w:p>
        </w:tc>
      </w:tr>
      <w:tr>
        <w:tc>
          <w:tcPr>
            <w:tcW w:w="6520" w:type="dxa"/>
          </w:tcPr>
          <w:p>
            <w:pPr>
              <w:pStyle w:val="0"/>
              <w:jc w:val="center"/>
            </w:pPr>
            <w:r>
              <w:rPr>
                <w:sz w:val="24"/>
              </w:rPr>
              <w:t xml:space="preserve">1 - 5</w:t>
            </w:r>
          </w:p>
        </w:tc>
        <w:tc>
          <w:tcPr>
            <w:tcW w:w="2551" w:type="dxa"/>
          </w:tcPr>
          <w:p>
            <w:pPr>
              <w:pStyle w:val="0"/>
              <w:jc w:val="center"/>
            </w:pPr>
            <w:r>
              <w:rPr>
                <w:sz w:val="24"/>
              </w:rPr>
              <w:t xml:space="preserve">5</w:t>
            </w:r>
          </w:p>
        </w:tc>
      </w:tr>
      <w:tr>
        <w:tc>
          <w:tcPr>
            <w:tcW w:w="6520" w:type="dxa"/>
          </w:tcPr>
          <w:p>
            <w:pPr>
              <w:pStyle w:val="0"/>
              <w:jc w:val="center"/>
            </w:pPr>
            <w:r>
              <w:rPr>
                <w:sz w:val="24"/>
              </w:rPr>
              <w:t xml:space="preserve">6 - 20</w:t>
            </w:r>
          </w:p>
        </w:tc>
        <w:tc>
          <w:tcPr>
            <w:tcW w:w="2551" w:type="dxa"/>
          </w:tcPr>
          <w:p>
            <w:pPr>
              <w:pStyle w:val="0"/>
              <w:jc w:val="center"/>
            </w:pPr>
            <w:r>
              <w:rPr>
                <w:sz w:val="24"/>
              </w:rPr>
              <w:t xml:space="preserve">10</w:t>
            </w:r>
          </w:p>
        </w:tc>
      </w:tr>
      <w:tr>
        <w:tc>
          <w:tcPr>
            <w:tcW w:w="6520" w:type="dxa"/>
          </w:tcPr>
          <w:p>
            <w:pPr>
              <w:pStyle w:val="0"/>
              <w:jc w:val="center"/>
            </w:pPr>
            <w:r>
              <w:rPr>
                <w:sz w:val="24"/>
              </w:rPr>
              <w:t xml:space="preserve">21 - 50</w:t>
            </w:r>
          </w:p>
        </w:tc>
        <w:tc>
          <w:tcPr>
            <w:tcW w:w="2551" w:type="dxa"/>
          </w:tcPr>
          <w:p>
            <w:pPr>
              <w:pStyle w:val="0"/>
              <w:jc w:val="center"/>
            </w:pPr>
            <w:r>
              <w:rPr>
                <w:sz w:val="24"/>
              </w:rPr>
              <w:t xml:space="preserve">15</w:t>
            </w:r>
          </w:p>
        </w:tc>
      </w:tr>
      <w:tr>
        <w:tc>
          <w:tcPr>
            <w:tcW w:w="6520" w:type="dxa"/>
          </w:tcPr>
          <w:p>
            <w:pPr>
              <w:pStyle w:val="0"/>
              <w:jc w:val="center"/>
            </w:pPr>
            <w:r>
              <w:rPr>
                <w:sz w:val="24"/>
              </w:rPr>
              <w:t xml:space="preserve">51 - 100</w:t>
            </w:r>
          </w:p>
        </w:tc>
        <w:tc>
          <w:tcPr>
            <w:tcW w:w="2551" w:type="dxa"/>
          </w:tcPr>
          <w:p>
            <w:pPr>
              <w:pStyle w:val="0"/>
              <w:jc w:val="center"/>
            </w:pPr>
            <w:r>
              <w:rPr>
                <w:sz w:val="24"/>
              </w:rPr>
              <w:t xml:space="preserve">20</w:t>
            </w:r>
          </w:p>
        </w:tc>
      </w:tr>
      <w:tr>
        <w:tc>
          <w:tcPr>
            <w:tcW w:w="6520" w:type="dxa"/>
          </w:tcPr>
          <w:p>
            <w:pPr>
              <w:pStyle w:val="0"/>
              <w:jc w:val="center"/>
            </w:pPr>
            <w:r>
              <w:rPr>
                <w:sz w:val="24"/>
              </w:rPr>
              <w:t xml:space="preserve">101 и более</w:t>
            </w:r>
          </w:p>
        </w:tc>
        <w:tc>
          <w:tcPr>
            <w:tcW w:w="2551" w:type="dxa"/>
          </w:tcPr>
          <w:p>
            <w:pPr>
              <w:pStyle w:val="0"/>
              <w:jc w:val="center"/>
            </w:pPr>
            <w:r>
              <w:rPr>
                <w:sz w:val="24"/>
              </w:rPr>
              <w:t xml:space="preserve">25</w:t>
            </w:r>
          </w:p>
        </w:tc>
      </w:tr>
    </w:tbl>
    <w:p>
      <w:pPr>
        <w:pStyle w:val="0"/>
        <w:jc w:val="both"/>
      </w:pPr>
      <w:r>
        <w:rPr>
          <w:sz w:val="24"/>
        </w:rPr>
      </w:r>
    </w:p>
    <w:p>
      <w:pPr>
        <w:pStyle w:val="0"/>
        <w:ind w:firstLine="540"/>
        <w:jc w:val="both"/>
      </w:pPr>
      <w:r>
        <w:rPr>
          <w:sz w:val="24"/>
        </w:rPr>
        <w:t xml:space="preserve">К</w:t>
      </w:r>
      <w:r>
        <w:rPr>
          <w:sz w:val="24"/>
          <w:vertAlign w:val="subscript"/>
        </w:rPr>
        <w:t xml:space="preserve">2</w:t>
      </w:r>
      <w:r>
        <w:rPr>
          <w:sz w:val="24"/>
        </w:rPr>
        <w:t xml:space="preserve"> - критерий вероятности несоблюдения обязательных требований, определяемый из суммарного количества баллов исходя из следующих условий: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Закон Челябинской области N 584-ЗО принят 27.05.2010, а не 27.05.2020.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наличие вступивших в законную силу в течение года, предшествующего дате принятия решения об отнесении объектов муниципального контроля к определенной категории риска, постановлений о назначении административного наказания за совершение административных правонарушений, предусмотренных </w:t>
      </w:r>
      <w:r>
        <w:rPr>
          <w:sz w:val="24"/>
        </w:rPr>
        <w:t xml:space="preserve">статьёй 11-1</w:t>
      </w:r>
      <w:r>
        <w:rPr>
          <w:sz w:val="24"/>
        </w:rPr>
        <w:t xml:space="preserve"> Закона Челябинской области от 27.05.2020 г. N 584-ЗО "Об административных правонарушениях в Челябинской области", - 40 баллов;</w:t>
      </w:r>
    </w:p>
    <w:p>
      <w:pPr>
        <w:pStyle w:val="0"/>
        <w:spacing w:before="240" w:lineRule="auto"/>
        <w:ind w:firstLine="540"/>
        <w:jc w:val="both"/>
      </w:pPr>
      <w:r>
        <w:rPr>
          <w:sz w:val="24"/>
        </w:rPr>
        <w:t xml:space="preserve">2) наличие вступивших в законную силу за 5 лет, предшествующих году принятия решения об отнесении объектов муниципального контроля (включая год отнесения) к определенной категории риска, решений суда о прекращении действия свидетельства об осуществлении перевозок по муниципальному маршруту регулярных перевозок - 50 баллов.</w:t>
      </w:r>
    </w:p>
    <w:p>
      <w:pPr>
        <w:pStyle w:val="0"/>
        <w:spacing w:before="240" w:lineRule="auto"/>
        <w:ind w:firstLine="540"/>
        <w:jc w:val="both"/>
      </w:pPr>
      <w:r>
        <w:rPr>
          <w:sz w:val="24"/>
        </w:rPr>
        <w:t xml:space="preserve">2. Отнесение объектов муниципального контроля к категории риска осуществляется в зависимости от значения критерия категории риска согласно таблице.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2"/>
        <w:gridCol w:w="3969"/>
      </w:tblGrid>
      <w:tr>
        <w:tc>
          <w:tcPr>
            <w:tcW w:w="5102" w:type="dxa"/>
          </w:tcPr>
          <w:p>
            <w:pPr>
              <w:pStyle w:val="0"/>
              <w:jc w:val="center"/>
            </w:pPr>
            <w:r>
              <w:rPr>
                <w:sz w:val="24"/>
              </w:rPr>
              <w:t xml:space="preserve">Значение критерия категории риска (К)</w:t>
            </w:r>
          </w:p>
        </w:tc>
        <w:tc>
          <w:tcPr>
            <w:tcW w:w="3969" w:type="dxa"/>
          </w:tcPr>
          <w:p>
            <w:pPr>
              <w:pStyle w:val="0"/>
              <w:jc w:val="center"/>
            </w:pPr>
            <w:r>
              <w:rPr>
                <w:sz w:val="24"/>
              </w:rPr>
              <w:t xml:space="preserve">Категория риска</w:t>
            </w:r>
          </w:p>
        </w:tc>
      </w:tr>
      <w:tr>
        <w:tc>
          <w:tcPr>
            <w:tcW w:w="5102" w:type="dxa"/>
          </w:tcPr>
          <w:p>
            <w:pPr>
              <w:pStyle w:val="0"/>
              <w:jc w:val="center"/>
            </w:pPr>
            <w:r>
              <w:rPr>
                <w:sz w:val="24"/>
              </w:rPr>
              <w:t xml:space="preserve">от 71 балла и выше</w:t>
            </w:r>
          </w:p>
        </w:tc>
        <w:tc>
          <w:tcPr>
            <w:tcW w:w="3969" w:type="dxa"/>
          </w:tcPr>
          <w:p>
            <w:pPr>
              <w:pStyle w:val="0"/>
              <w:jc w:val="center"/>
            </w:pPr>
            <w:r>
              <w:rPr>
                <w:sz w:val="24"/>
              </w:rPr>
              <w:t xml:space="preserve">категория высокого риска</w:t>
            </w:r>
          </w:p>
        </w:tc>
      </w:tr>
      <w:tr>
        <w:tc>
          <w:tcPr>
            <w:tcW w:w="5102" w:type="dxa"/>
          </w:tcPr>
          <w:p>
            <w:pPr>
              <w:pStyle w:val="0"/>
              <w:jc w:val="center"/>
            </w:pPr>
            <w:r>
              <w:rPr>
                <w:sz w:val="24"/>
              </w:rPr>
              <w:t xml:space="preserve">от 31 до 70 баллов</w:t>
            </w:r>
          </w:p>
        </w:tc>
        <w:tc>
          <w:tcPr>
            <w:tcW w:w="3969" w:type="dxa"/>
          </w:tcPr>
          <w:p>
            <w:pPr>
              <w:pStyle w:val="0"/>
              <w:jc w:val="center"/>
            </w:pPr>
            <w:r>
              <w:rPr>
                <w:sz w:val="24"/>
              </w:rPr>
              <w:t xml:space="preserve">категория среднего риска</w:t>
            </w:r>
          </w:p>
        </w:tc>
      </w:tr>
      <w:tr>
        <w:tc>
          <w:tcPr>
            <w:tcW w:w="5102" w:type="dxa"/>
          </w:tcPr>
          <w:p>
            <w:pPr>
              <w:pStyle w:val="0"/>
              <w:jc w:val="center"/>
            </w:pPr>
            <w:r>
              <w:rPr>
                <w:sz w:val="24"/>
              </w:rPr>
              <w:t xml:space="preserve">от 0 до 30 баллов</w:t>
            </w:r>
          </w:p>
        </w:tc>
        <w:tc>
          <w:tcPr>
            <w:tcW w:w="3969" w:type="dxa"/>
          </w:tcPr>
          <w:p>
            <w:pPr>
              <w:pStyle w:val="0"/>
              <w:jc w:val="center"/>
            </w:pPr>
            <w:r>
              <w:rPr>
                <w:sz w:val="24"/>
              </w:rPr>
              <w:t xml:space="preserve">категория низкого риска</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Челябинской области от 21.07.2025 N 571-П</w:t>
            <w:br/>
            <w:t>"О Положении о муниципальном контроле на автомобил...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www.pravo.gov.ru" TargetMode = "External"/><Relationship Id="rId9" Type="http://schemas.openxmlformats.org/officeDocument/2006/relationships/hyperlink" Target="www.pravo.gov.ru" TargetMode = "External"/><Relationship Id="rId10" Type="http://schemas.openxmlformats.org/officeDocument/2006/relationships/hyperlink" Target="www.pravo.gov.ru"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Челябинской области от 21.07.2025 N 571-П
"О Положении о муниципальном контроле на автомобильном транспорте, городском наземном электрическом транспорте и в дорожном хозяйстве и признании утратившими силу некоторых постановлений Правительства Челябинской области"
(вместе с "Положением о муниципальном контроле на автомобильном транспорте, городском наземном электрическом транспорте и в дорожном хозяйстве")</dc:title>
  <dcterms:created xsi:type="dcterms:W3CDTF">2026-01-16T06:04:20Z</dcterms:created>
</cp:coreProperties>
</file>