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9214" w:leader="none"/>
        </w:tabs>
        <w:ind w:right="-2"/>
        <w:jc w:val="center"/>
        <w:rPr>
          <w:rFonts w:ascii="Times New Roman" w:hAnsi="Times New Roman" w:eastAsia="Times New Roman" w:cs="Times New Roman"/>
          <w:b/>
          <w:bCs/>
          <w:sz w:val="26"/>
          <w:szCs w:val="26"/>
          <w:highlight w:val="none"/>
        </w:rPr>
      </w:pPr>
      <w:r>
        <w:rPr>
          <w:rFonts w:eastAsia="Times New Roman" w:cs="Times New Roman"/>
          <w:b/>
          <w:bCs/>
          <w:sz w:val="26"/>
          <w:szCs w:val="26"/>
        </w:rPr>
        <w:t>Доклад о достижении целей введения обязательных требований, содержащихся в Правилах благоустройства территории Копейского городского округа Челябинской области за 2025 год</w:t>
      </w:r>
    </w:p>
    <w:p>
      <w:pPr>
        <w:pStyle w:val="Normal"/>
        <w:tabs>
          <w:tab w:val="clear" w:pos="708"/>
          <w:tab w:val="left" w:pos="9214" w:leader="none"/>
        </w:tabs>
        <w:ind w:right="-2"/>
        <w:jc w:val="center"/>
        <w:rPr>
          <w:rFonts w:ascii="Times New Roman" w:hAnsi="Times New Roman" w:eastAsia="Times New Roman" w:cs="Times New Roman"/>
          <w:b/>
          <w:bCs/>
          <w:sz w:val="26"/>
          <w:szCs w:val="26"/>
          <w:highlight w:val="none"/>
        </w:rPr>
      </w:pPr>
      <w:r>
        <w:rPr>
          <w:rFonts w:eastAsia="Times New Roman" w:cs="Times New Roman"/>
          <w:b/>
          <w:bCs/>
          <w:sz w:val="26"/>
          <w:szCs w:val="26"/>
        </w:rPr>
      </w:r>
    </w:p>
    <w:p>
      <w:pPr>
        <w:pStyle w:val="ListParagraph"/>
        <w:numPr>
          <w:ilvl w:val="0"/>
          <w:numId w:val="3"/>
        </w:numPr>
        <w:tabs>
          <w:tab w:val="clear" w:pos="708"/>
          <w:tab w:val="left" w:pos="9214" w:leader="none"/>
        </w:tabs>
        <w:ind w:hanging="360" w:left="709" w:right="-2"/>
        <w:jc w:val="center"/>
        <w:rPr>
          <w:rFonts w:ascii="Times New Roman" w:hAnsi="Times New Roman" w:eastAsia="Times New Roman" w:cs="Times New Roman"/>
          <w:b/>
          <w:bCs/>
          <w:sz w:val="26"/>
          <w:szCs w:val="26"/>
          <w:highlight w:val="none"/>
        </w:rPr>
      </w:pPr>
      <w:r>
        <w:rPr>
          <w:rFonts w:eastAsia="Times New Roman" w:cs="Times New Roman"/>
          <w:b/>
          <w:bCs/>
          <w:sz w:val="26"/>
          <w:szCs w:val="26"/>
        </w:rPr>
        <w:t>Общая информация</w:t>
      </w:r>
    </w:p>
    <w:p>
      <w:pPr>
        <w:pStyle w:val="Normal"/>
        <w:tabs>
          <w:tab w:val="clear" w:pos="708"/>
          <w:tab w:val="left" w:pos="9214" w:leader="none"/>
        </w:tabs>
        <w:ind w:hanging="0" w:left="709" w:right="-2"/>
        <w:jc w:val="center"/>
        <w:rPr>
          <w:rFonts w:ascii="Times New Roman" w:hAnsi="Times New Roman" w:eastAsia="Times New Roman" w:cs="Times New Roman"/>
          <w:b/>
          <w:bCs/>
          <w:sz w:val="26"/>
          <w:szCs w:val="26"/>
          <w:highlight w:val="none"/>
        </w:rPr>
      </w:pPr>
      <w:r>
        <w:rPr>
          <w:rFonts w:eastAsia="Times New Roman" w:cs="Times New Roman"/>
          <w:b/>
          <w:bCs/>
          <w:sz w:val="26"/>
          <w:szCs w:val="26"/>
        </w:rPr>
        <w:t>1.1 Основания проведения процедуры оценки применения обязательных требований</w:t>
      </w:r>
      <w:r>
        <w:rPr>
          <w:rFonts w:eastAsia="Times New Roman" w:cs="Times New Roman"/>
          <w:sz w:val="26"/>
          <w:szCs w:val="26"/>
        </w:rPr>
        <w:t xml:space="preserve">                       </w:t>
      </w:r>
    </w:p>
    <w:p>
      <w:pPr>
        <w:pStyle w:val="Normal"/>
        <w:tabs>
          <w:tab w:val="clear" w:pos="708"/>
          <w:tab w:val="left" w:pos="9496" w:leader="none"/>
        </w:tabs>
        <w:ind w:firstLine="709" w:left="0" w:right="-2"/>
        <w:jc w:val="both"/>
        <w:rPr>
          <w:rFonts w:ascii="Times New Roman" w:hAnsi="Times New Roman" w:cs="Times New Roman"/>
          <w:sz w:val="26"/>
          <w:szCs w:val="26"/>
          <w:highlight w:val="none"/>
        </w:rPr>
      </w:pPr>
      <w:r>
        <w:rPr>
          <w:rFonts w:eastAsia="Times New Roman" w:cs="Times New Roman"/>
          <w:sz w:val="26"/>
          <w:szCs w:val="26"/>
        </w:rPr>
        <w:t>Настоящий доклад разработан в соответствии с Федеральным законом от       31 июля 2020 года № 247-ФЗ «Об обязательных требованиях в Российской Федерации» (далее – ФЗ № 247), постановлени</w:t>
      </w:r>
      <w:r>
        <w:rPr>
          <w:rFonts w:eastAsia="Times New Roman" w:cs="Times New Roman"/>
          <w:sz w:val="26"/>
          <w:szCs w:val="26"/>
        </w:rPr>
        <w:t>ями</w:t>
      </w:r>
      <w:r>
        <w:rPr>
          <w:rFonts w:eastAsia="Times New Roman" w:cs="Times New Roman"/>
          <w:sz w:val="26"/>
          <w:szCs w:val="26"/>
        </w:rPr>
        <w:t xml:space="preserve"> администрации </w:t>
      </w:r>
      <w:r>
        <w:rPr>
          <w:rFonts w:eastAsia="Times New Roman" w:cs="Times New Roman"/>
          <w:sz w:val="26"/>
          <w:szCs w:val="26"/>
        </w:rPr>
        <w:t xml:space="preserve">Копейского городского округа Челябинской области </w:t>
      </w:r>
      <w:r>
        <w:rPr>
          <w:rFonts w:eastAsia="Times New Roman" w:cs="Times New Roman"/>
          <w:sz w:val="26"/>
          <w:szCs w:val="26"/>
        </w:rPr>
        <w:t xml:space="preserve">(далее — Администрация, городской округ) </w:t>
      </w:r>
      <w:r>
        <w:rPr>
          <w:rFonts w:eastAsia="Times New Roman" w:cs="Times New Roman"/>
          <w:sz w:val="26"/>
          <w:szCs w:val="26"/>
        </w:rPr>
        <w:t>от  03.12.2024 № 3721-п «Об утверждении Порядка установления и оценки применения содержащихся в нормативных правовых актах обязательных требований, связанных с осуществлением предпринимательской деятельности и иной экономической деятельности, оценка соблюдения которых осуществляется в рамках муниципального контроля, привлечения к административной ответственности, предоставления разрешений»</w:t>
      </w:r>
    </w:p>
    <w:p>
      <w:pPr>
        <w:pStyle w:val="Normal"/>
        <w:tabs>
          <w:tab w:val="clear" w:pos="708"/>
          <w:tab w:val="left" w:pos="9214" w:leader="none"/>
        </w:tabs>
        <w:ind w:firstLine="709" w:left="0" w:right="-2"/>
        <w:jc w:val="both"/>
        <w:rPr>
          <w:rFonts w:ascii="Times New Roman" w:hAnsi="Times New Roman" w:cs="Times New Roman"/>
          <w:sz w:val="26"/>
          <w:szCs w:val="26"/>
          <w:highlight w:val="none"/>
        </w:rPr>
      </w:pPr>
      <w:r>
        <w:rPr>
          <w:rFonts w:eastAsia="Times New Roman" w:cs="Times New Roman"/>
          <w:sz w:val="26"/>
          <w:szCs w:val="26"/>
        </w:rPr>
        <w:t>Указанный доклад рассматривает достижение целей введения обязательных требований, предусмотренных Правилами благоустройства территории  городского округа, утвержденными р</w:t>
      </w:r>
      <w:r>
        <w:rPr>
          <w:rFonts w:eastAsia="Times New Roman" w:cs="Times New Roman"/>
          <w:sz w:val="26"/>
          <w:szCs w:val="26"/>
        </w:rPr>
        <w:t>ешением Собрания депутатов городского округа от 03.07.2020 № 897-МО «Об утверждении Правил благоустройства территории Копейского городского округа» (далее – Правила благоустройства).</w:t>
      </w:r>
    </w:p>
    <w:p>
      <w:pPr>
        <w:pStyle w:val="Normal"/>
        <w:tabs>
          <w:tab w:val="clear" w:pos="708"/>
          <w:tab w:val="left" w:pos="9214" w:leader="none"/>
        </w:tabs>
        <w:ind w:firstLine="709" w:left="0" w:right="-2"/>
        <w:jc w:val="both"/>
        <w:rPr>
          <w:rFonts w:ascii="Times New Roman" w:hAnsi="Times New Roman" w:cs="Times New Roman"/>
          <w:sz w:val="26"/>
          <w:szCs w:val="26"/>
          <w:highlight w:val="none"/>
        </w:rPr>
      </w:pPr>
      <w:r>
        <w:rPr>
          <w:rFonts w:cs="Times New Roman"/>
          <w:sz w:val="26"/>
          <w:szCs w:val="26"/>
        </w:rPr>
      </w:r>
    </w:p>
    <w:p>
      <w:pPr>
        <w:pStyle w:val="Normal"/>
        <w:tabs>
          <w:tab w:val="clear" w:pos="708"/>
          <w:tab w:val="left" w:pos="9214" w:leader="none"/>
        </w:tabs>
        <w:ind w:firstLine="709" w:left="0" w:right="-2"/>
        <w:jc w:val="center"/>
        <w:rPr>
          <w:rFonts w:ascii="Times New Roman" w:hAnsi="Times New Roman" w:cs="Times New Roman"/>
          <w:b/>
          <w:bCs/>
          <w:sz w:val="26"/>
          <w:szCs w:val="26"/>
          <w:highlight w:val="none"/>
        </w:rPr>
      </w:pPr>
      <w:r>
        <w:rPr>
          <w:rFonts w:cs="Times New Roman"/>
          <w:b/>
          <w:bCs/>
          <w:sz w:val="26"/>
          <w:szCs w:val="26"/>
        </w:rPr>
        <w:t>1.2 Исполнительны орган, осуществляющий полномочия в соответствующих сферах общественных отношений</w:t>
      </w:r>
    </w:p>
    <w:p>
      <w:pPr>
        <w:pStyle w:val="Normal"/>
        <w:numPr>
          <w:ilvl w:val="0"/>
          <w:numId w:val="0"/>
        </w:numPr>
        <w:spacing w:lineRule="atLeast" w:line="283" w:before="0" w:after="0"/>
        <w:ind w:firstLine="567"/>
        <w:jc w:val="both"/>
        <w:outlineLvl w:val="1"/>
        <w:rPr>
          <w:rFonts w:ascii="Times New Roman" w:hAnsi="Times New Roman" w:eastAsia="Times New Roman" w:cs="Times New Roman"/>
          <w:sz w:val="26"/>
          <w:szCs w:val="26"/>
        </w:rPr>
      </w:pPr>
      <w:r>
        <w:rPr>
          <w:rFonts w:eastAsia="Times New Roman" w:cs="Times New Roman"/>
          <w:sz w:val="26"/>
          <w:szCs w:val="26"/>
        </w:rPr>
        <w:t xml:space="preserve">Муниципальный контроль на территории </w:t>
      </w:r>
      <w:r>
        <w:rPr>
          <w:rFonts w:eastAsia="Times New Roman" w:cs="Times New Roman"/>
          <w:sz w:val="26"/>
          <w:szCs w:val="26"/>
        </w:rPr>
        <w:t xml:space="preserve">городского </w:t>
      </w:r>
      <w:r>
        <w:rPr>
          <w:rFonts w:eastAsia="Times New Roman" w:cs="Times New Roman"/>
          <w:sz w:val="26"/>
          <w:szCs w:val="26"/>
        </w:rPr>
        <w:t xml:space="preserve">округа осуществляется </w:t>
      </w:r>
      <w:r>
        <w:rPr>
          <w:rFonts w:eastAsia="Times New Roman" w:cs="Times New Roman"/>
          <w:sz w:val="26"/>
          <w:szCs w:val="26"/>
        </w:rPr>
        <w:t>А</w:t>
      </w:r>
      <w:r>
        <w:rPr>
          <w:rFonts w:eastAsia="Times New Roman" w:cs="Times New Roman"/>
          <w:sz w:val="26"/>
          <w:szCs w:val="26"/>
        </w:rPr>
        <w:t>дминистрацией</w:t>
      </w:r>
      <w:r>
        <w:rPr>
          <w:rFonts w:eastAsia="Times New Roman" w:cs="Times New Roman"/>
          <w:sz w:val="26"/>
          <w:szCs w:val="26"/>
        </w:rPr>
        <w:t>.</w:t>
      </w:r>
      <w:r>
        <w:rPr>
          <w:rFonts w:eastAsia="Times New Roman" w:cs="Times New Roman"/>
          <w:sz w:val="26"/>
          <w:szCs w:val="26"/>
        </w:rPr>
        <w:t xml:space="preserve"> От имени органа муниципального контроля муниципальный контроль вправе осуществлять должностные лица отдела контроля правового управления </w:t>
      </w:r>
      <w:r>
        <w:rPr>
          <w:rFonts w:eastAsia="Times New Roman" w:cs="Times New Roman"/>
          <w:sz w:val="26"/>
          <w:szCs w:val="26"/>
        </w:rPr>
        <w:t>Ад</w:t>
      </w:r>
      <w:r>
        <w:rPr>
          <w:rFonts w:eastAsia="Times New Roman" w:cs="Times New Roman"/>
          <w:sz w:val="26"/>
          <w:szCs w:val="26"/>
        </w:rPr>
        <w:t>министрации - 4 человека, в должностные обязанности которых, в соответствии с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w:t>
      </w:r>
    </w:p>
    <w:p>
      <w:pPr>
        <w:pStyle w:val="Normal"/>
        <w:numPr>
          <w:ilvl w:val="0"/>
          <w:numId w:val="0"/>
        </w:numPr>
        <w:spacing w:lineRule="atLeast" w:line="283" w:before="0" w:after="0"/>
        <w:ind w:firstLine="708"/>
        <w:jc w:val="both"/>
        <w:outlineLvl w:val="1"/>
        <w:rPr>
          <w:rFonts w:ascii="Times New Roman" w:hAnsi="Times New Roman" w:eastAsia="Times New Roman" w:cs="Times New Roman"/>
          <w:sz w:val="26"/>
          <w:szCs w:val="26"/>
        </w:rPr>
      </w:pPr>
      <w:r>
        <w:rPr>
          <w:sz w:val="26"/>
          <w:szCs w:val="26"/>
        </w:rPr>
        <w:t>В рамках Федерального закона от 31 июля 2020 года № 248-ФЗ «О государственном контроле (надзоре) и муниципальном контроле в Российской Федерации» (далее – Закон № 248-ФЗ)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отдела контроля правового управления администрации округа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 Муниципальный контроль направлен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pPr>
        <w:sectPr>
          <w:type w:val="nextPage"/>
          <w:pgSz w:w="11906" w:h="16838"/>
          <w:pgMar w:left="1701" w:right="708" w:gutter="0" w:header="0" w:top="1134" w:footer="0" w:bottom="1105"/>
          <w:pgNumType w:fmt="decimal"/>
          <w:formProt w:val="false"/>
          <w:textDirection w:val="lrTb"/>
          <w:docGrid w:type="default" w:linePitch="360" w:charSpace="0"/>
        </w:sectPr>
        <w:pStyle w:val="Normal"/>
        <w:numPr>
          <w:ilvl w:val="0"/>
          <w:numId w:val="0"/>
        </w:numPr>
        <w:spacing w:lineRule="atLeast" w:line="283" w:before="0" w:after="0"/>
        <w:ind w:firstLine="708"/>
        <w:jc w:val="both"/>
        <w:outlineLvl w:val="1"/>
        <w:rPr>
          <w:rFonts w:ascii="Times New Roman" w:hAnsi="Times New Roman" w:eastAsia="Times New Roman" w:cs="Times New Roman"/>
          <w:sz w:val="26"/>
          <w:szCs w:val="26"/>
        </w:rPr>
      </w:pPr>
      <w:r>
        <w:rPr>
          <w:rFonts w:eastAsia="Times New Roman" w:cs="Times New Roman"/>
          <w:sz w:val="26"/>
          <w:szCs w:val="26"/>
        </w:rPr>
        <w:t xml:space="preserve">Предметом муниципального контроля, является </w:t>
      </w:r>
      <w:r>
        <w:rPr>
          <w:rFonts w:eastAsia="Times New Roman" w:cs="Times New Roman"/>
          <w:color w:val="22272F"/>
          <w:sz w:val="26"/>
          <w:szCs w:val="26"/>
          <w:shd w:fill="FFFFFF" w:val="clear"/>
        </w:rPr>
        <w:t xml:space="preserve">соблюдение </w:t>
      </w:r>
      <w:r>
        <w:rPr>
          <w:rFonts w:eastAsia="Times New Roman" w:cs="Times New Roman"/>
          <w:sz w:val="26"/>
          <w:szCs w:val="26"/>
        </w:rPr>
        <w:t xml:space="preserve">гражданами, в том числе осуществляющих деятельность в качестве индивидуальных предпринимателей, организациями, в том числе коммерческими и некоммерческими организациями любых форм собственности и организационно-правовых форм, органами государственной власти и органами местного самоуправления (далее - контролируемые лица) </w:t>
      </w:r>
      <w:r>
        <w:rPr>
          <w:rFonts w:eastAsia="Times New Roman" w:cs="Times New Roman"/>
          <w:color w:val="22272F"/>
          <w:sz w:val="26"/>
          <w:szCs w:val="26"/>
          <w:shd w:fill="FFFFFF" w:val="clear"/>
        </w:rPr>
        <w:t>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благоустройства.</w:t>
      </w:r>
    </w:p>
    <w:p>
      <w:pPr>
        <w:pStyle w:val="Normal"/>
        <w:spacing w:lineRule="auto" w:line="240" w:before="0" w:after="0"/>
        <w:jc w:val="center"/>
        <w:rPr>
          <w:rFonts w:ascii="Times New Roman" w:hAnsi="Times New Roman" w:cs="Times New Roman"/>
          <w:sz w:val="26"/>
          <w:szCs w:val="26"/>
          <w:highlight w:val="none"/>
        </w:rPr>
      </w:pPr>
      <w:r>
        <w:rPr>
          <w:rFonts w:cs="Times New Roman"/>
          <w:b/>
          <w:bCs/>
          <w:sz w:val="26"/>
          <w:szCs w:val="26"/>
        </w:rPr>
        <w:t>2. Общая характеристика оцениваемых обязательных требований</w:t>
      </w:r>
    </w:p>
    <w:p>
      <w:pPr>
        <w:pStyle w:val="Normal"/>
        <w:widowControl/>
        <w:bidi w:val="0"/>
        <w:spacing w:lineRule="auto" w:line="240" w:beforeAutospacing="0" w:before="0" w:afterAutospacing="0" w:after="0"/>
        <w:ind w:hanging="0" w:left="-1361" w:right="113"/>
        <w:jc w:val="both"/>
        <w:rPr>
          <w:rFonts w:ascii="TimesNewRomanCYR" w:hAnsi="TimesNewRomanCYR" w:eastAsia="TimesNewRomanCYR" w:cs="TimesNewRomanCYR"/>
          <w:sz w:val="24"/>
        </w:rPr>
      </w:pPr>
      <w:r>
        <w:rPr>
          <w:rFonts w:eastAsia="TimesNewRomanCYR" w:cs="TimesNewRomanCYR" w:ascii="TimesNewRomanCYR" w:hAnsi="TimesNewRomanCYR"/>
          <w:sz w:val="24"/>
        </w:rPr>
        <w:tab/>
      </w:r>
      <w:r>
        <w:rPr>
          <w:rFonts w:eastAsia="TimesNewRomanCYR" w:cs="TimesNewRomanCYR" w:ascii="Times New Roman" w:hAnsi="Times New Roman"/>
          <w:sz w:val="26"/>
          <w:szCs w:val="26"/>
        </w:rPr>
        <w:t>Правила благоустройства устанавливают единые и обязательные к исполнению требования в сфере благоустройства, к обеспечению доступности городской среды, определяют порядок уборки и содержания городских территорий и объектов благоустройства, перечень работ по благоустройству, их периодичность, порядок участия юридических и физических лиц, индивидуальных предпринимателей, являющихся собственниками, пользователями или владельцами земель, застройщиками, собственниками, владельцами и арендаторами зданий (помещений в них), строений и сооружений, объектов благоустройства, в содержании и благоустройстве прилегающих территорий, порядок производства земляных работ и работ, влекущих нарушение благоустройства и (или) природного ландшафта, регулируют порядок планирования и координации сроков проведения указанных работ, устанавливают требования к выдаче, продлению и закрытию разрешений на осуществление земляных работ (ордеров), к внешнему архитектурному облику в целях сохранения самобытности и уникальности архитектурной застройки, а также развития и поддержания эстетики визуально-пространственной городской среды и градостроительной культуры.</w:t>
      </w:r>
    </w:p>
    <w:p>
      <w:pPr>
        <w:pStyle w:val="Normal"/>
        <w:widowControl/>
        <w:bidi w:val="0"/>
        <w:spacing w:lineRule="auto" w:line="240" w:beforeAutospacing="0" w:before="0" w:afterAutospacing="0" w:after="0"/>
        <w:ind w:hanging="0" w:left="-1361" w:right="113"/>
        <w:jc w:val="both"/>
        <w:rPr>
          <w:rFonts w:ascii="TimesNewRomanCYR" w:hAnsi="TimesNewRomanCYR" w:eastAsia="TimesNewRomanCYR" w:cs="TimesNewRomanCYR"/>
          <w:sz w:val="24"/>
        </w:rPr>
      </w:pPr>
      <w:r>
        <w:rPr>
          <w:rFonts w:eastAsia="TimesNewRomanCYR" w:cs="TimesNewRomanCYR" w:ascii="TimesNewRomanCYR" w:hAnsi="TimesNewRomanCYR"/>
          <w:sz w:val="26"/>
          <w:szCs w:val="26"/>
        </w:rPr>
      </w:r>
    </w:p>
    <w:p>
      <w:pPr>
        <w:pStyle w:val="ConsPlusNormal"/>
        <w:numPr>
          <w:ilvl w:val="0"/>
          <w:numId w:val="0"/>
        </w:numPr>
        <w:jc w:val="center"/>
        <w:outlineLvl w:val="2"/>
        <w:rPr>
          <w:rFonts w:ascii="Times New Roman" w:hAnsi="Times New Roman" w:eastAsia="Times New Roman" w:cs="Times New Roman"/>
          <w:b/>
          <w:bCs/>
          <w:sz w:val="26"/>
          <w:szCs w:val="26"/>
          <w:highlight w:val="none"/>
        </w:rPr>
      </w:pPr>
      <w:r>
        <w:rPr>
          <w:rFonts w:eastAsia="Times New Roman" w:cs="Times New Roman" w:ascii="Times New Roman" w:hAnsi="Times New Roman"/>
          <w:b/>
          <w:sz w:val="26"/>
          <w:szCs w:val="26"/>
        </w:rPr>
        <w:t>2.2 Общая характеристика системы оцениваемых обязательных</w:t>
      </w:r>
    </w:p>
    <w:p>
      <w:pPr>
        <w:pStyle w:val="Normal"/>
        <w:spacing w:lineRule="auto" w:line="240" w:before="0" w:after="0"/>
        <w:ind w:hanging="0" w:left="0" w:right="0"/>
        <w:jc w:val="center"/>
        <w:rPr>
          <w:rFonts w:ascii="Times New Roman" w:hAnsi="Times New Roman" w:cs="Times New Roman"/>
          <w:sz w:val="28"/>
          <w:szCs w:val="28"/>
          <w:highlight w:val="none"/>
        </w:rPr>
      </w:pPr>
      <w:r>
        <w:rPr>
          <w:rFonts w:eastAsia="Times New Roman" w:cs="Times New Roman"/>
          <w:bCs/>
          <w:sz w:val="26"/>
          <w:szCs w:val="26"/>
        </w:rPr>
        <w:t>Перечень</w:t>
      </w:r>
      <w:r>
        <w:rPr>
          <w:rFonts w:eastAsia="Times New Roman" w:cs="Times New Roman"/>
          <w:sz w:val="26"/>
          <w:szCs w:val="26"/>
        </w:rPr>
        <w:t xml:space="preserve"> муниципальных нормативных правовых актов городского округа(далее - МНПА)</w:t>
      </w:r>
      <w:r>
        <w:rPr>
          <w:rFonts w:eastAsia="Times New Roman" w:cs="Times New Roman"/>
          <w:bCs/>
          <w:sz w:val="26"/>
          <w:szCs w:val="26"/>
        </w:rPr>
        <w:t xml:space="preserve"> и содержащихся в них обязательных требований, включая сведения о внесенных в МНПА изменениях (при наличии) с указанием наименования и реквизитов МНПА, содержащих обязательные требования. Период действия МНПА и их отдельных положений.</w:t>
      </w:r>
    </w:p>
    <w:tbl>
      <w:tblPr>
        <w:tblW w:w="15371" w:type="dxa"/>
        <w:jc w:val="left"/>
        <w:tblInd w:w="-1643" w:type="dxa"/>
        <w:tblLayout w:type="fixed"/>
        <w:tblCellMar>
          <w:top w:w="102" w:type="dxa"/>
          <w:left w:w="62" w:type="dxa"/>
          <w:bottom w:w="102" w:type="dxa"/>
          <w:right w:w="62" w:type="dxa"/>
        </w:tblCellMar>
        <w:tblLook w:val="04a0" w:noHBand="0" w:noVBand="1" w:firstColumn="1" w:lastRow="0" w:lastColumn="0" w:firstRow="1"/>
      </w:tblPr>
      <w:tblGrid>
        <w:gridCol w:w="567"/>
        <w:gridCol w:w="1940"/>
        <w:gridCol w:w="2314"/>
        <w:gridCol w:w="515"/>
        <w:gridCol w:w="1810"/>
        <w:gridCol w:w="8224"/>
      </w:tblGrid>
      <w:tr>
        <w:trPr/>
        <w:tc>
          <w:tcPr>
            <w:tcW w:w="567"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п/п</w:t>
            </w:r>
          </w:p>
        </w:tc>
        <w:tc>
          <w:tcPr>
            <w:tcW w:w="1940"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cs="Times New Roman"/>
                <w:sz w:val="18"/>
                <w:szCs w:val="18"/>
              </w:rPr>
            </w:pPr>
            <w:r>
              <w:rPr>
                <w:rFonts w:cs="Times New Roman" w:ascii="Times New Roman" w:hAnsi="Times New Roman"/>
                <w:sz w:val="18"/>
                <w:szCs w:val="18"/>
              </w:rPr>
              <w:t>Нормативные правовые акты, содержащие обязательные требования</w:t>
            </w:r>
          </w:p>
          <w:p>
            <w:pPr>
              <w:pStyle w:val="ConsPlusNormal"/>
              <w:jc w:val="center"/>
              <w:rPr>
                <w:rFonts w:ascii="Times New Roman" w:hAnsi="Times New Roman" w:cs="Times New Roman"/>
                <w:sz w:val="18"/>
                <w:szCs w:val="18"/>
              </w:rPr>
            </w:pPr>
            <w:r>
              <w:rPr>
                <w:rFonts w:cs="Times New Roman" w:ascii="Times New Roman" w:hAnsi="Times New Roman"/>
                <w:sz w:val="18"/>
                <w:szCs w:val="18"/>
              </w:rPr>
              <w:t xml:space="preserve">(далее – ОТ) </w:t>
            </w:r>
          </w:p>
        </w:tc>
        <w:tc>
          <w:tcPr>
            <w:tcW w:w="2314"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sz w:val="18"/>
                <w:szCs w:val="18"/>
              </w:rPr>
            </w:pPr>
            <w:r>
              <w:rPr>
                <w:rFonts w:cs="Times New Roman" w:ascii="Times New Roman" w:hAnsi="Times New Roman"/>
                <w:sz w:val="18"/>
                <w:szCs w:val="18"/>
              </w:rPr>
              <w:t xml:space="preserve">Структурные части НПА, устанавливающие ОТ или группу ОТ, дата их вступления в силу и срок их действия </w:t>
            </w:r>
          </w:p>
        </w:tc>
        <w:tc>
          <w:tcPr>
            <w:tcW w:w="2325" w:type="dxa"/>
            <w:gridSpan w:val="2"/>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sz w:val="18"/>
                <w:szCs w:val="18"/>
              </w:rPr>
            </w:pPr>
            <w:r>
              <w:rPr>
                <w:rFonts w:cs="Times New Roman" w:ascii="Times New Roman" w:hAnsi="Times New Roman"/>
                <w:sz w:val="18"/>
                <w:szCs w:val="18"/>
              </w:rPr>
              <w:t>ОТ или группа ОТ, установленные НПА</w:t>
            </w:r>
          </w:p>
        </w:tc>
        <w:tc>
          <w:tcPr>
            <w:tcW w:w="8224" w:type="dxa"/>
            <w:vMerge w:val="restart"/>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sz w:val="18"/>
                <w:szCs w:val="18"/>
              </w:rPr>
            </w:pPr>
            <w:r>
              <w:rPr>
                <w:rFonts w:cs="Times New Roman" w:ascii="Times New Roman" w:hAnsi="Times New Roman"/>
                <w:sz w:val="18"/>
                <w:szCs w:val="18"/>
              </w:rPr>
              <w:t>Содержание изменений, внесенных в НПА в части ОТ, а также реквизиты НПА, которым внесены изменения (если соответствующие изменения вносились в НПА)</w:t>
            </w:r>
          </w:p>
        </w:tc>
      </w:tr>
      <w:tr>
        <w:trPr/>
        <w:tc>
          <w:tcPr>
            <w:tcW w:w="567"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8"/>
                <w:szCs w:val="18"/>
              </w:rPr>
            </w:pPr>
            <w:r>
              <w:rPr>
                <w:rFonts w:cs="Times New Roman" w:ascii="Times New Roman" w:hAnsi="Times New Roman"/>
                <w:sz w:val="18"/>
                <w:szCs w:val="18"/>
              </w:rPr>
            </w:r>
          </w:p>
        </w:tc>
        <w:tc>
          <w:tcPr>
            <w:tcW w:w="1940"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8"/>
                <w:szCs w:val="18"/>
              </w:rPr>
            </w:pPr>
            <w:r>
              <w:rPr>
                <w:rFonts w:cs="Times New Roman" w:ascii="Times New Roman" w:hAnsi="Times New Roman"/>
                <w:sz w:val="18"/>
                <w:szCs w:val="18"/>
              </w:rPr>
            </w:r>
          </w:p>
        </w:tc>
        <w:tc>
          <w:tcPr>
            <w:tcW w:w="2314"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8"/>
                <w:szCs w:val="18"/>
              </w:rPr>
            </w:pPr>
            <w:r>
              <w:rPr>
                <w:rFonts w:cs="Times New Roman" w:ascii="Times New Roman" w:hAnsi="Times New Roman"/>
                <w:sz w:val="18"/>
                <w:szCs w:val="18"/>
              </w:rPr>
            </w:r>
          </w:p>
        </w:tc>
        <w:tc>
          <w:tcPr>
            <w:tcW w:w="515"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sz w:val="18"/>
                <w:szCs w:val="18"/>
              </w:rPr>
            </w:pPr>
            <w:r>
              <w:rPr>
                <w:rFonts w:cs="Times New Roman" w:ascii="Times New Roman" w:hAnsi="Times New Roman"/>
                <w:sz w:val="18"/>
                <w:szCs w:val="18"/>
              </w:rPr>
              <w:t>№</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jc w:val="center"/>
              <w:rPr>
                <w:rFonts w:ascii="Times New Roman" w:hAnsi="Times New Roman"/>
                <w:sz w:val="18"/>
                <w:szCs w:val="18"/>
              </w:rPr>
            </w:pPr>
            <w:r>
              <w:rPr>
                <w:rFonts w:cs="Times New Roman" w:ascii="Times New Roman" w:hAnsi="Times New Roman"/>
                <w:sz w:val="18"/>
                <w:szCs w:val="18"/>
              </w:rPr>
              <w:t>Краткое описание содержания ОТ / группы ОТ</w:t>
            </w:r>
          </w:p>
        </w:tc>
        <w:tc>
          <w:tcPr>
            <w:tcW w:w="8224" w:type="dxa"/>
            <w:vMerge w:val="continue"/>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8"/>
                <w:szCs w:val="18"/>
              </w:rPr>
            </w:pPr>
            <w:r>
              <w:rPr>
                <w:rFonts w:cs="Times New Roman" w:ascii="Times New Roman" w:hAnsi="Times New Roman"/>
                <w:sz w:val="18"/>
                <w:szCs w:val="18"/>
              </w:rPr>
            </w:r>
          </w:p>
        </w:tc>
      </w:tr>
      <w:tr>
        <w:trPr/>
        <w:tc>
          <w:tcPr>
            <w:tcW w:w="567" w:type="dxa"/>
            <w:tcBorders>
              <w:top w:val="single" w:sz="4" w:space="0" w:color="000000"/>
              <w:left w:val="single" w:sz="4" w:space="0" w:color="000000"/>
              <w:right w:val="single" w:sz="4" w:space="0" w:color="000000"/>
            </w:tcBorders>
          </w:tcPr>
          <w:p>
            <w:pPr>
              <w:pStyle w:val="ConsPlusNormal"/>
              <w:jc w:val="center"/>
              <w:rPr>
                <w:rFonts w:ascii="Times New Roman" w:hAnsi="Times New Roman"/>
                <w:sz w:val="18"/>
                <w:szCs w:val="18"/>
              </w:rPr>
            </w:pPr>
            <w:r>
              <w:rPr>
                <w:rFonts w:cs="Times New Roman" w:ascii="Times New Roman" w:hAnsi="Times New Roman"/>
                <w:sz w:val="18"/>
                <w:szCs w:val="18"/>
              </w:rPr>
              <w:t>1</w:t>
            </w:r>
          </w:p>
        </w:tc>
        <w:tc>
          <w:tcPr>
            <w:tcW w:w="1940" w:type="dxa"/>
            <w:tcBorders>
              <w:top w:val="single" w:sz="4" w:space="0" w:color="000000"/>
              <w:left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 xml:space="preserve">Решение Собрания депутатов городского округа </w:t>
            </w:r>
            <w:r>
              <w:rPr>
                <w:rFonts w:eastAsia="Times New Roman" w:cs="Times New Roman" w:ascii="Times New Roman" w:hAnsi="Times New Roman"/>
                <w:sz w:val="18"/>
                <w:szCs w:val="18"/>
              </w:rPr>
              <w:t xml:space="preserve">от 03.07.2020 </w:t>
            </w:r>
          </w:p>
          <w:p>
            <w:pPr>
              <w:pStyle w:val="ConsPlusNormal"/>
              <w:spacing w:before="0" w:after="0"/>
              <w:rPr>
                <w:rFonts w:ascii="Times New Roman" w:hAnsi="Times New Roman" w:eastAsia="Times New Roman" w:cs="Times New Roman"/>
                <w:sz w:val="18"/>
                <w:szCs w:val="18"/>
                <w:highlight w:val="none"/>
              </w:rPr>
            </w:pPr>
            <w:r>
              <w:rPr>
                <w:rFonts w:eastAsia="Times New Roman" w:cs="Times New Roman" w:ascii="Times New Roman" w:hAnsi="Times New Roman"/>
                <w:sz w:val="18"/>
                <w:szCs w:val="18"/>
              </w:rPr>
              <w:t xml:space="preserve">№ </w:t>
            </w:r>
            <w:r>
              <w:rPr>
                <w:rFonts w:eastAsia="Times New Roman" w:cs="Times New Roman" w:ascii="Times New Roman" w:hAnsi="Times New Roman"/>
                <w:sz w:val="18"/>
                <w:szCs w:val="18"/>
              </w:rPr>
              <w:t>897-МО «Об утверждении Правил благоустройства территории Копейского городского округа»</w:t>
            </w:r>
          </w:p>
          <w:p>
            <w:pPr>
              <w:pStyle w:val="ConsPlusNormal"/>
              <w:spacing w:before="0" w:after="0"/>
              <w:rPr>
                <w:rFonts w:ascii="Times New Roman" w:hAnsi="Times New Roman" w:eastAsia="Times New Roman" w:cs="Times New Roman"/>
                <w:sz w:val="18"/>
                <w:szCs w:val="18"/>
                <w:highlight w:val="none"/>
              </w:rPr>
            </w:pPr>
            <w:r>
              <w:rPr>
                <w:rFonts w:eastAsia="Times New Roman" w:cs="Times New Roman" w:ascii="Times New Roman" w:hAnsi="Times New Roman"/>
                <w:sz w:val="18"/>
                <w:szCs w:val="18"/>
              </w:rPr>
              <w:t>(далее — решение СД КГО)</w:t>
            </w:r>
          </w:p>
          <w:p>
            <w:pPr>
              <w:pStyle w:val="ConsPlus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Глава III Правил благоустройства</w:t>
            </w:r>
          </w:p>
          <w:p>
            <w:pPr>
              <w:pStyle w:val="ConsPlusNormal"/>
              <w:spacing w:before="0" w:after="0"/>
              <w:rPr>
                <w:rFonts w:ascii="Times New Roman" w:hAnsi="Times New Roman"/>
                <w:sz w:val="18"/>
                <w:szCs w:val="18"/>
              </w:rPr>
            </w:pPr>
            <w:r>
              <w:rPr>
                <w:rFonts w:cs="Times New Roman" w:ascii="Times New Roman" w:hAnsi="Times New Roman"/>
                <w:sz w:val="18"/>
                <w:szCs w:val="18"/>
              </w:rPr>
              <w:t>Раздел 1. Требования к содержанию и благоустройству территории городского округа</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1</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Требования к содержанию и благоустройству территории городского округа</w:t>
            </w:r>
          </w:p>
        </w:tc>
        <w:tc>
          <w:tcPr>
            <w:tcW w:w="8224" w:type="dxa"/>
            <w:tcBorders>
              <w:top w:val="single" w:sz="4" w:space="0" w:color="000000"/>
              <w:left w:val="single" w:sz="4" w:space="0" w:color="000000"/>
              <w:bottom w:val="single" w:sz="4" w:space="0" w:color="000000"/>
              <w:right w:val="single" w:sz="4" w:space="0" w:color="000000"/>
            </w:tcBorders>
          </w:tcPr>
          <w:p>
            <w:pPr>
              <w:pStyle w:val="Style19"/>
              <w:spacing w:lineRule="auto" w:line="240" w:before="0" w:after="0"/>
              <w:ind w:hanging="0" w:left="0" w:right="0"/>
              <w:jc w:val="both"/>
              <w:rPr/>
            </w:pPr>
            <w:r>
              <w:rPr>
                <w:rFonts w:eastAsia="TimesNewRomanCYR" w:cs="TimesNewRomanCYR" w:ascii="Times New Roman" w:hAnsi="Times New Roman"/>
                <w:i w:val="false"/>
                <w:iCs w:val="false"/>
                <w:color w:val="000000"/>
                <w:sz w:val="18"/>
                <w:szCs w:val="18"/>
                <w:highlight w:val="white"/>
                <w:shd w:fill="F0F0F0" w:val="clear"/>
              </w:rPr>
              <w:t>Пп 10, 22 п. 7 изменены с 5.</w:t>
            </w:r>
            <w:r>
              <w:rPr>
                <w:rFonts w:eastAsia="TimesNewRomanCYR" w:cs="TimesNewRomanCYR" w:ascii="Times New Roman" w:hAnsi="Times New Roman"/>
                <w:i w:val="false"/>
                <w:iCs w:val="false"/>
                <w:color w:val="000000"/>
                <w:sz w:val="18"/>
                <w:szCs w:val="18"/>
                <w:highlight w:val="white"/>
                <w:shd w:fill="F0F0F0" w:val="clear"/>
              </w:rPr>
              <w:t>11.</w:t>
            </w:r>
            <w:r>
              <w:rPr>
                <w:rFonts w:eastAsia="TimesNewRomanCYR" w:cs="TimesNewRomanCYR" w:ascii="Times New Roman" w:hAnsi="Times New Roman"/>
                <w:i w:val="false"/>
                <w:iCs w:val="false"/>
                <w:color w:val="000000"/>
                <w:sz w:val="18"/>
                <w:szCs w:val="18"/>
                <w:highlight w:val="white"/>
                <w:shd w:fill="F0F0F0" w:val="clear"/>
              </w:rPr>
              <w:t xml:space="preserve">2021 </w:t>
            </w:r>
            <w:r>
              <w:rPr>
                <w:rFonts w:eastAsia="TimesNewRomanCYR" w:cs="TimesNewRomanCYR" w:ascii="Times New Roman" w:hAnsi="Times New Roman"/>
                <w:i w:val="false"/>
                <w:iCs w:val="false"/>
                <w:color w:val="000000"/>
                <w:sz w:val="18"/>
                <w:szCs w:val="18"/>
                <w:highlight w:val="white"/>
                <w:shd w:fill="F0F0F0" w:val="clear"/>
              </w:rPr>
              <w:t>р</w:t>
            </w:r>
            <w:hyperlink r:id="rId2" w:tooltip="http://mobileonline.garant.ru/document/redirect/403022054/5">
              <w:r>
                <w:rPr>
                  <w:rStyle w:val="Style"/>
                  <w:rFonts w:eastAsia="TimesNewRomanCYR" w:cs="TimesNewRomanCYR" w:ascii="Times New Roman" w:hAnsi="Times New Roman"/>
                  <w:b w:val="false"/>
                  <w:i w:val="false"/>
                  <w:iCs w:val="false"/>
                  <w:color w:val="000000"/>
                  <w:sz w:val="18"/>
                  <w:szCs w:val="18"/>
                  <w:highlight w:val="white"/>
                  <w:shd w:fill="F0F0F0" w:val="clear"/>
                </w:rPr>
                <w:t>ешение</w:t>
              </w:r>
            </w:hyperlink>
            <w:r>
              <w:rPr>
                <w:rFonts w:eastAsia="TimesNewRomanCYR" w:cs="TimesNewRomanCYR" w:ascii="Times New Roman" w:hAnsi="Times New Roman"/>
                <w:i w:val="false"/>
                <w:iCs w:val="false"/>
                <w:color w:val="000000"/>
                <w:sz w:val="18"/>
                <w:szCs w:val="18"/>
                <w:highlight w:val="white"/>
                <w:shd w:fill="F0F0F0" w:val="clear"/>
              </w:rPr>
              <w:t>м С</w:t>
            </w:r>
            <w:r>
              <w:rPr>
                <w:rFonts w:eastAsia="TimesNewRomanCYR" w:cs="TimesNewRomanCYR" w:ascii="Times New Roman" w:hAnsi="Times New Roman"/>
                <w:i w:val="false"/>
                <w:iCs w:val="false"/>
                <w:color w:val="000000"/>
                <w:sz w:val="18"/>
                <w:szCs w:val="18"/>
                <w:highlight w:val="white"/>
                <w:shd w:fill="F0F0F0" w:val="clear"/>
              </w:rPr>
              <w:t xml:space="preserve">Д КГО </w:t>
            </w:r>
            <w:r>
              <w:rPr>
                <w:rFonts w:eastAsia="TimesNewRomanCYR" w:cs="TimesNewRomanCYR" w:ascii="Times New Roman" w:hAnsi="Times New Roman"/>
                <w:i w:val="false"/>
                <w:iCs w:val="false"/>
                <w:color w:val="000000"/>
                <w:sz w:val="18"/>
                <w:szCs w:val="18"/>
                <w:highlight w:val="white"/>
                <w:shd w:fill="F0F0F0" w:val="clear"/>
              </w:rPr>
              <w:t>от 27.</w:t>
            </w:r>
            <w:r>
              <w:rPr>
                <w:rFonts w:eastAsia="TimesNewRomanCYR" w:cs="TimesNewRomanCYR" w:ascii="Times New Roman" w:hAnsi="Times New Roman"/>
                <w:i w:val="false"/>
                <w:iCs w:val="false"/>
                <w:color w:val="000000"/>
                <w:sz w:val="18"/>
                <w:szCs w:val="18"/>
                <w:highlight w:val="white"/>
                <w:shd w:fill="F0F0F0" w:val="clear"/>
              </w:rPr>
              <w:t>10.2021</w:t>
            </w:r>
            <w:r>
              <w:rPr>
                <w:rFonts w:eastAsia="TimesNewRomanCYR" w:cs="TimesNewRomanCYR" w:ascii="Times New Roman" w:hAnsi="Times New Roman"/>
                <w:i w:val="false"/>
                <w:iCs w:val="false"/>
                <w:color w:val="000000"/>
                <w:sz w:val="18"/>
                <w:szCs w:val="18"/>
                <w:highlight w:val="white"/>
                <w:shd w:fill="F0F0F0" w:val="clear"/>
              </w:rPr>
              <w:t xml:space="preserve"> № 291-МО.</w:t>
            </w:r>
          </w:p>
          <w:p>
            <w:pPr>
              <w:pStyle w:val="Normal"/>
              <w:spacing w:lineRule="auto" w:line="240" w:before="0" w:after="0"/>
              <w:ind w:hanging="0" w:left="0" w:right="0"/>
              <w:jc w:val="both"/>
              <w:rPr>
                <w:rFonts w:ascii="Times New Roman" w:hAnsi="Times New Roman"/>
                <w:sz w:val="18"/>
                <w:szCs w:val="18"/>
              </w:rPr>
            </w:pPr>
            <w:r>
              <w:rPr>
                <w:rFonts w:cs="Times New Roman" w:ascii="Times New Roman" w:hAnsi="Times New Roman"/>
                <w:color w:val="auto"/>
                <w:sz w:val="18"/>
                <w:szCs w:val="18"/>
                <w:highlight w:val="white"/>
              </w:rPr>
              <w:t xml:space="preserve">Пп. 10 п. 7  </w:t>
            </w:r>
            <w:r>
              <w:rPr>
                <w:rFonts w:eastAsia="TimesNewRomanCYR" w:cs="TimesNewRomanCYR" w:ascii="Times New Roman" w:hAnsi="Times New Roman"/>
                <w:color w:val="auto"/>
                <w:sz w:val="18"/>
                <w:szCs w:val="18"/>
                <w:highlight w:val="white"/>
              </w:rPr>
              <w:t>самовольная установка (без оформленных в установленном порядке документов, подтверждающих право на размещение) временных нестационарных объектов, в том числе объектов развозной торговли;</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пп. 22 п. 7 размещение на придомовых территориях в случае, когда земельный участок не образован, нестационарных объектов мелкорозничной торговой сети и (или) оказания услуг населению, объектов развозной торговли, автомобильных моек контейнерного типа.</w:t>
            </w:r>
          </w:p>
          <w:p>
            <w:pPr>
              <w:pStyle w:val="Normal"/>
              <w:spacing w:lineRule="auto" w:line="240" w:before="0" w:after="0"/>
              <w:ind w:hanging="0" w:left="0" w:right="0"/>
              <w:jc w:val="both"/>
              <w:rPr/>
            </w:pPr>
            <w:r>
              <w:rPr>
                <w:rFonts w:eastAsia="TimesNewRomanCYR" w:cs="TimesNewRomanCYR" w:ascii="Times New Roman" w:hAnsi="Times New Roman"/>
                <w:i w:val="false"/>
                <w:iCs w:val="false"/>
                <w:color w:val="000000"/>
                <w:sz w:val="18"/>
                <w:szCs w:val="18"/>
                <w:highlight w:val="white"/>
                <w:shd w:fill="F0F0F0" w:val="clear"/>
              </w:rPr>
              <w:t xml:space="preserve">Пп 7, 9, 10  п. 7, п. 10, пп. 5 п. 11 изменены </w:t>
            </w:r>
            <w:r>
              <w:rPr>
                <w:rFonts w:eastAsia="TimesNewRomanCYR" w:cs="TimesNewRomanCYR" w:ascii="Times New Roman" w:hAnsi="Times New Roman"/>
                <w:i w:val="false"/>
                <w:iCs w:val="false"/>
                <w:color w:val="000000"/>
                <w:sz w:val="18"/>
                <w:szCs w:val="18"/>
                <w:highlight w:val="white"/>
                <w:shd w:fill="F0F0F0" w:val="clear"/>
              </w:rPr>
              <w:t>р</w:t>
            </w:r>
            <w:hyperlink r:id="rId3" w:tooltip="http://mobileonline.garant.ru/document/redirect/403022054/5">
              <w:r>
                <w:rPr>
                  <w:rStyle w:val="Style"/>
                  <w:rFonts w:eastAsia="TimesNewRomanCYR" w:cs="TimesNewRomanCYR" w:ascii="Times New Roman" w:hAnsi="Times New Roman"/>
                  <w:b w:val="false"/>
                  <w:i w:val="false"/>
                  <w:iCs w:val="false"/>
                  <w:color w:val="000000"/>
                  <w:sz w:val="18"/>
                  <w:szCs w:val="18"/>
                  <w:highlight w:val="white"/>
                  <w:shd w:fill="F0F0F0" w:val="clear"/>
                </w:rPr>
                <w:t>ешение</w:t>
              </w:r>
            </w:hyperlink>
            <w:r>
              <w:rPr>
                <w:rFonts w:eastAsia="TimesNewRomanCYR" w:cs="TimesNewRomanCYR" w:ascii="Times New Roman" w:hAnsi="Times New Roman"/>
                <w:i w:val="false"/>
                <w:iCs w:val="false"/>
                <w:color w:val="000000"/>
                <w:sz w:val="18"/>
                <w:szCs w:val="18"/>
                <w:highlight w:val="white"/>
                <w:shd w:fill="F0F0F0" w:val="clear"/>
              </w:rPr>
              <w:t>м С</w:t>
            </w:r>
            <w:r>
              <w:rPr>
                <w:rFonts w:eastAsia="TimesNewRomanCYR" w:cs="TimesNewRomanCYR" w:ascii="Times New Roman" w:hAnsi="Times New Roman"/>
                <w:i w:val="false"/>
                <w:iCs w:val="false"/>
                <w:color w:val="000000"/>
                <w:sz w:val="18"/>
                <w:szCs w:val="18"/>
                <w:highlight w:val="white"/>
                <w:shd w:fill="F0F0F0" w:val="clear"/>
              </w:rPr>
              <w:t>Д КГО</w:t>
            </w:r>
            <w:r>
              <w:rPr>
                <w:rFonts w:eastAsia="TimesNewRomanCYR" w:cs="TimesNewRomanCYR" w:ascii="Times New Roman" w:hAnsi="Times New Roman"/>
                <w:i w:val="false"/>
                <w:iCs w:val="false"/>
                <w:color w:val="000000"/>
                <w:sz w:val="18"/>
                <w:szCs w:val="18"/>
                <w:highlight w:val="white"/>
                <w:shd w:fill="F0F0F0" w:val="clear"/>
              </w:rPr>
              <w:t xml:space="preserve"> от 23.</w:t>
            </w:r>
            <w:r>
              <w:rPr>
                <w:rFonts w:eastAsia="TimesNewRomanCYR" w:cs="TimesNewRomanCYR" w:ascii="Times New Roman" w:hAnsi="Times New Roman"/>
                <w:i w:val="false"/>
                <w:iCs w:val="false"/>
                <w:color w:val="000000"/>
                <w:sz w:val="18"/>
                <w:szCs w:val="18"/>
                <w:highlight w:val="white"/>
                <w:shd w:fill="F0F0F0" w:val="clear"/>
              </w:rPr>
              <w:t>08.2023</w:t>
            </w:r>
            <w:r>
              <w:rPr>
                <w:rFonts w:eastAsia="TimesNewRomanCYR" w:cs="TimesNewRomanCYR" w:ascii="Times New Roman" w:hAnsi="Times New Roman"/>
                <w:i w:val="false"/>
                <w:iCs w:val="false"/>
                <w:color w:val="000000"/>
                <w:sz w:val="18"/>
                <w:szCs w:val="18"/>
                <w:highlight w:val="white"/>
                <w:shd w:fill="F0F0F0" w:val="clear"/>
              </w:rPr>
              <w:t xml:space="preserve"> № 841-МО.</w:t>
            </w:r>
          </w:p>
          <w:p>
            <w:pPr>
              <w:pStyle w:val="Style19"/>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i w:val="false"/>
                <w:iCs w:val="false"/>
                <w:color w:val="auto"/>
                <w:sz w:val="18"/>
                <w:szCs w:val="18"/>
              </w:rPr>
              <w:t>Пп. 7 п. 7 использование газонов, детских, спортивных площадок, арок зданий не по целевому назначению, в том числе оставление механических транспортных средств на газонах, озелененных территориях, детских и спортивных площадках;</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пп. 9 п. 7 торговля, в том числе развозная, а также оказание бытовых услуг и услуг общественного питания в неустановленных местах на территориях общего пользования:</w:t>
            </w:r>
          </w:p>
          <w:p>
            <w:pPr>
              <w:pStyle w:val="Normal"/>
              <w:spacing w:lineRule="auto" w:line="240" w:before="0" w:after="0"/>
              <w:ind w:hanging="0" w:left="0" w:right="0"/>
              <w:jc w:val="both"/>
              <w:rPr/>
            </w:pPr>
            <w:r>
              <w:rPr>
                <w:rFonts w:eastAsia="TimesNewRomanCYR" w:cs="TimesNewRomanCYR" w:ascii="Times New Roman" w:hAnsi="Times New Roman"/>
                <w:sz w:val="18"/>
                <w:szCs w:val="18"/>
              </w:rPr>
              <w:t xml:space="preserve">не разрешенных </w:t>
            </w:r>
            <w:hyperlink r:id="rId4" w:tooltip="http://mobileonline.garant.ru/document/redirect/1305770/0">
              <w:r>
                <w:rPr>
                  <w:rStyle w:val="Style"/>
                  <w:rFonts w:eastAsia="TimesNewRomanCYR" w:cs="TimesNewRomanCYR" w:ascii="Times New Roman" w:hAnsi="Times New Roman"/>
                  <w:b w:val="false"/>
                  <w:color w:val="auto"/>
                  <w:sz w:val="18"/>
                  <w:szCs w:val="18"/>
                </w:rPr>
                <w:t>Правилами</w:t>
              </w:r>
            </w:hyperlink>
            <w:r>
              <w:rPr>
                <w:rFonts w:eastAsia="TimesNewRomanCYR" w:cs="TimesNewRomanCYR" w:ascii="Times New Roman" w:hAnsi="Times New Roman"/>
                <w:color w:val="auto"/>
                <w:sz w:val="18"/>
                <w:szCs w:val="18"/>
              </w:rPr>
              <w:t xml:space="preserve"> </w:t>
            </w:r>
            <w:r>
              <w:rPr>
                <w:rFonts w:eastAsia="TimesNewRomanCYR" w:cs="TimesNewRomanCYR" w:ascii="Times New Roman" w:hAnsi="Times New Roman"/>
                <w:sz w:val="18"/>
                <w:szCs w:val="18"/>
              </w:rPr>
              <w:t>дорожного движения Российской Федерации, не имеющих подъездных путей, мешающих движению пешеходов;</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относящихся к охранным зонам памятников истории, культуры и архитектуры, инженерных сетей, санитарно-защитным зонам, территориям, занятым зелеными насаждениями, придомовым территориям в случае, когда земельный участок не образован;</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xml:space="preserve">в арках зданий, на детских и спортивных площадках, на площадях городского округа, на территории парков, скверов, объектов культурного наследия, на обочинах автомобильных дорог общего пользования, тротуарах, газонах, остановках общественного транспорта, на автомобильных стоянках и парковках; </w:t>
            </w:r>
            <w:r>
              <w:rPr>
                <w:rFonts w:eastAsia="TimesNewRomanCYR" w:cs="TimesNewRomanCYR" w:ascii="Times New Roman" w:hAnsi="Times New Roman"/>
                <w:i w:val="false"/>
                <w:iCs w:val="false"/>
                <w:sz w:val="18"/>
                <w:szCs w:val="18"/>
              </w:rPr>
              <w:t>вдоль центральных улиц городского округа: пр. Коммунистический, пр. Славы, пр. Победы, ул. Ленина;</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i w:val="false"/>
                <w:iCs w:val="false"/>
                <w:color w:val="353842"/>
                <w:sz w:val="18"/>
                <w:szCs w:val="18"/>
                <w:highlight w:val="white"/>
                <w:shd w:fill="F0F0F0" w:val="clear"/>
              </w:rPr>
              <w:t>п. 1</w:t>
            </w:r>
            <w:r>
              <w:rPr>
                <w:rFonts w:eastAsia="TimesNewRomanCYR" w:cs="TimesNewRomanCYR" w:ascii="Times New Roman" w:hAnsi="Times New Roman"/>
                <w:i w:val="false"/>
                <w:iCs w:val="false"/>
                <w:sz w:val="18"/>
                <w:szCs w:val="18"/>
                <w:highlight w:val="white"/>
              </w:rPr>
              <w:t>0</w:t>
            </w:r>
            <w:r>
              <w:rPr>
                <w:rFonts w:eastAsia="TimesNewRomanCYR" w:cs="TimesNewRomanCYR" w:ascii="Times New Roman" w:hAnsi="Times New Roman"/>
                <w:sz w:val="18"/>
                <w:szCs w:val="18"/>
              </w:rPr>
              <w:t>. Собственники зданий, нежилых помещений и сооружений, организации, осуществляющие управление многоквартирными домами на основании заключенных с собственниками помещений договоров, обязаны принимать меры по поддержанию в исправном и эстетичном состоянии фасадов и сохранению архитектурно-художественного внешнего вида зданий и сооружений.</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С целью осуществления указанных мер собственники зданий, нежилых помещений и сооружений, организации, осуществляющие управление многоквартирными домами на основании заключенных с собственниками помещений договоров, должны:</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1) в сроки, установленные нормативными актами Правительства Российской Федерации проверять состояние фасадов и их отдельных элементов, проверять прочность креплений архитектурных деталей и облицовки, устойчивость парапетных и балконных ограждений;</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2) при осмотре фасадов крупноблочных и крупнопанельных зданий контролировать состояние горизонтальных и вертикальных стыков между панелями и блоками;</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3) проводить текущий и капитальный ремонты фасада здания, сооружения, с учетом его фактического состояния с периодичностью в пределах, установленных нормативными актами;</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4) проводить окраску фасада здания, сооружения с учетом его фактического состояния с периодичностью в пределах, установленных нормативными актами;</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5) производить, при необходимости, поддерживающий ремонт отдельных элементов фасада (цоколей, крылец, ступеней, приямков, входных дверей, ворот, цокольных окон, балконов, лоджий, водосточных труб, водоотводов, подоконных отливов, отмостки и т.д.);</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6) принимать меры по устранению загрязнений, повреждений фасадов, ограждающих конструкций, входных групп (узлов), навесных металлических конструкций, оконных проемов, витрин и вывесок, а также меры по восстановлению отделочного слоя при его разрушении;</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7) согласовывать с УАиГ установку дополнительных входных групп (узлов), навесных металлических конструкций, оконных проемов, витрин и вывесок, осуществление действий по реконструкции (изменению габаритов и конфигурации) и ликвидации существующих входных групп (узлов), навесных металлических конструкций, оконных проемов, витрин и вывесок.</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Пп. 5, п. 11 запрещается частичная (фрагментарная) окраска, а равно обвес металлопластиковыми панелями, отделка иным декоративным или строительным материалом поверхностей фасадов зданий. Исключение составляют случаи, предусмотренные разработанным инициатором паспортом фасада здания (многоквартирного дома), согласованного с УАиГ. Паспорт фасада должен содержать сведения о применяемых отделочных материалах, способах отделки, цветовом тоне колера поверхности фасада и архитектурных деталей здания (многоквартирного дома).</w:t>
            </w:r>
          </w:p>
        </w:tc>
      </w:tr>
      <w:tr>
        <w:trPr/>
        <w:tc>
          <w:tcPr>
            <w:tcW w:w="567" w:type="dxa"/>
            <w:tcBorders>
              <w:left w:val="single" w:sz="4" w:space="0" w:color="000000"/>
              <w:right w:val="single" w:sz="4" w:space="0" w:color="000000"/>
            </w:tcBorders>
          </w:tcPr>
          <w:p>
            <w:pPr>
              <w:pStyle w:val="ConsPlusNormal"/>
              <w:rPr>
                <w:rFonts w:ascii="Times New Roman" w:hAnsi="Times New Roman" w:cs="Times New Roman"/>
                <w:sz w:val="18"/>
                <w:szCs w:val="18"/>
              </w:rPr>
            </w:pPr>
            <w:r>
              <w:rPr>
                <w:rFonts w:cs="Times New Roman" w:ascii="Times New Roman" w:hAnsi="Times New Roman"/>
                <w:sz w:val="18"/>
                <w:szCs w:val="18"/>
              </w:rPr>
            </w:r>
          </w:p>
        </w:tc>
        <w:tc>
          <w:tcPr>
            <w:tcW w:w="1940" w:type="dxa"/>
            <w:tcBorders>
              <w:left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Раздел 2. Устройство, содержание и ремонт входных групп (входов) зданий</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2</w:t>
            </w:r>
          </w:p>
        </w:tc>
        <w:tc>
          <w:tcPr>
            <w:tcW w:w="1810"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cs="Times New Roman" w:ascii="Times New Roman" w:hAnsi="Times New Roman"/>
                <w:sz w:val="18"/>
                <w:szCs w:val="18"/>
              </w:rPr>
              <w:t>Устройство, содержание и ремонт входных групп (входов) зданий</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ind w:firstLine="425" w:left="0" w:right="0"/>
              <w:rPr>
                <w:rFonts w:ascii="Times New Roman" w:hAnsi="Times New Roman" w:eastAsia="TimesNewRomanCYR" w:cs="TimesNewRomanCYR"/>
                <w:color w:themeColor="text1" w:val="000000"/>
                <w:sz w:val="18"/>
                <w:szCs w:val="18"/>
                <w:highlight w:val="none"/>
              </w:rPr>
            </w:pPr>
            <w:r>
              <w:rPr>
                <w:rFonts w:eastAsia="TimesNewRomanCYR" w:cs="TimesNewRomanCYR" w:ascii="Times New Roman" w:hAnsi="Times New Roman"/>
                <w:color w:themeColor="text1" w:val="000000"/>
                <w:sz w:val="18"/>
                <w:szCs w:val="18"/>
              </w:rPr>
            </w:r>
          </w:p>
        </w:tc>
      </w:tr>
      <w:tr>
        <w:trPr/>
        <w:tc>
          <w:tcPr>
            <w:tcW w:w="567" w:type="dxa"/>
            <w:tcBorders>
              <w:left w:val="single" w:sz="4" w:space="0" w:color="000000"/>
              <w:right w:val="single" w:sz="4" w:space="0" w:color="000000"/>
            </w:tcBorders>
          </w:tcPr>
          <w:p>
            <w:pPr>
              <w:pStyle w:val="ConsPlusNormal"/>
              <w:rPr>
                <w:rFonts w:ascii="Times New Roman" w:hAnsi="Times New Roman" w:cs="Times New Roman"/>
                <w:sz w:val="18"/>
                <w:szCs w:val="18"/>
              </w:rPr>
            </w:pPr>
            <w:r>
              <w:rPr>
                <w:rFonts w:cs="Times New Roman" w:ascii="Times New Roman" w:hAnsi="Times New Roman"/>
                <w:sz w:val="18"/>
                <w:szCs w:val="18"/>
              </w:rPr>
            </w:r>
          </w:p>
        </w:tc>
        <w:tc>
          <w:tcPr>
            <w:tcW w:w="1940" w:type="dxa"/>
            <w:tcBorders>
              <w:left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Раздел 3. Окна и витрины</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3</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Окна и витрины</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ind w:firstLine="425" w:left="0" w:right="0"/>
              <w:rPr>
                <w:rFonts w:ascii="Times New Roman" w:hAnsi="Times New Roman" w:eastAsia="TimesNewRomanCYR" w:cs="TimesNewRomanCYR"/>
                <w:color w:themeColor="text1" w:val="000000"/>
                <w:sz w:val="18"/>
                <w:szCs w:val="18"/>
                <w:highlight w:val="none"/>
              </w:rPr>
            </w:pPr>
            <w:r>
              <w:rPr>
                <w:rFonts w:eastAsia="TimesNewRomanCYR" w:cs="TimesNewRomanCYR" w:ascii="Times New Roman" w:hAnsi="Times New Roman"/>
                <w:color w:themeColor="text1" w:val="000000"/>
                <w:sz w:val="18"/>
                <w:szCs w:val="18"/>
              </w:rPr>
            </w:r>
          </w:p>
        </w:tc>
      </w:tr>
      <w:tr>
        <w:trPr/>
        <w:tc>
          <w:tcPr>
            <w:tcW w:w="567" w:type="dxa"/>
            <w:tcBorders>
              <w:left w:val="single" w:sz="4" w:space="0" w:color="000000"/>
              <w:right w:val="single" w:sz="4" w:space="0" w:color="000000"/>
            </w:tcBorders>
          </w:tcPr>
          <w:p>
            <w:pPr>
              <w:pStyle w:val="ConsPlusNormal"/>
              <w:rPr>
                <w:rFonts w:ascii="Times New Roman" w:hAnsi="Times New Roman" w:cs="Times New Roman"/>
                <w:sz w:val="18"/>
                <w:szCs w:val="18"/>
              </w:rPr>
            </w:pPr>
            <w:r>
              <w:rPr>
                <w:rFonts w:cs="Times New Roman" w:ascii="Times New Roman" w:hAnsi="Times New Roman"/>
                <w:sz w:val="18"/>
                <w:szCs w:val="18"/>
              </w:rPr>
            </w:r>
          </w:p>
        </w:tc>
        <w:tc>
          <w:tcPr>
            <w:tcW w:w="1940" w:type="dxa"/>
            <w:tcBorders>
              <w:left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Раздел 4. Балконы и лоджии</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4</w:t>
            </w:r>
          </w:p>
        </w:tc>
        <w:tc>
          <w:tcPr>
            <w:tcW w:w="1810"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Балконы и лоджии</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ind w:firstLine="425" w:left="0" w:right="0"/>
              <w:rPr>
                <w:rFonts w:ascii="Times New Roman" w:hAnsi="Times New Roman" w:eastAsia="TimesNewRomanCYR" w:cs="TimesNewRomanCYR"/>
                <w:color w:themeColor="text1" w:val="000000"/>
                <w:sz w:val="18"/>
                <w:szCs w:val="18"/>
                <w:highlight w:val="none"/>
              </w:rPr>
            </w:pPr>
            <w:r>
              <w:rPr>
                <w:rFonts w:eastAsia="TimesNewRomanCYR" w:cs="TimesNewRomanCYR" w:ascii="Times New Roman" w:hAnsi="Times New Roman"/>
                <w:color w:themeColor="text1" w:val="000000"/>
                <w:sz w:val="18"/>
                <w:szCs w:val="18"/>
              </w:rPr>
            </w:r>
          </w:p>
        </w:tc>
      </w:tr>
      <w:tr>
        <w:trPr/>
        <w:tc>
          <w:tcPr>
            <w:tcW w:w="567" w:type="dxa"/>
            <w:tcBorders>
              <w:left w:val="single" w:sz="4" w:space="0" w:color="000000"/>
              <w:right w:val="single" w:sz="4" w:space="0" w:color="000000"/>
            </w:tcBorders>
          </w:tcPr>
          <w:p>
            <w:pPr>
              <w:pStyle w:val="ConsPlusNormal"/>
              <w:rPr>
                <w:rFonts w:ascii="Times New Roman" w:hAnsi="Times New Roman" w:cs="Times New Roman"/>
                <w:sz w:val="18"/>
                <w:szCs w:val="18"/>
              </w:rPr>
            </w:pPr>
            <w:r>
              <w:rPr>
                <w:rFonts w:cs="Times New Roman" w:ascii="Times New Roman" w:hAnsi="Times New Roman"/>
                <w:sz w:val="18"/>
                <w:szCs w:val="18"/>
              </w:rPr>
            </w:r>
          </w:p>
        </w:tc>
        <w:tc>
          <w:tcPr>
            <w:tcW w:w="1940" w:type="dxa"/>
            <w:tcBorders>
              <w:left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Раздел 5. Дополнительное техническое оборудование фасадов</w:t>
            </w:r>
          </w:p>
          <w:p>
            <w:pPr>
              <w:pStyle w:val="ConsPlusNormal"/>
              <w:spacing w:before="0" w:after="0"/>
              <w:rPr>
                <w:rFonts w:ascii="Times New Roman" w:hAnsi="Times New Roman" w:eastAsia="Times New Roman" w:cs="Times New Roman"/>
                <w:sz w:val="18"/>
                <w:szCs w:val="18"/>
              </w:rPr>
            </w:pPr>
            <w:r>
              <w:rPr>
                <w:rFonts w:eastAsia="Times New Roman" w:cs="Times New Roman" w:ascii="Times New Roman" w:hAnsi="Times New Roman"/>
                <w:sz w:val="18"/>
                <w:szCs w:val="18"/>
              </w:rPr>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5</w:t>
            </w:r>
          </w:p>
        </w:tc>
        <w:tc>
          <w:tcPr>
            <w:tcW w:w="1810"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cs="Times New Roman" w:ascii="Times New Roman" w:hAnsi="Times New Roman"/>
                <w:sz w:val="18"/>
                <w:szCs w:val="18"/>
              </w:rPr>
              <w:t>Дополнительное техническое оборудование фасадов</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ind w:firstLine="425" w:left="0" w:right="0"/>
              <w:rPr>
                <w:rFonts w:ascii="Times New Roman" w:hAnsi="Times New Roman" w:eastAsia="TimesNewRomanCYR" w:cs="TimesNewRomanCYR"/>
                <w:color w:themeColor="text1" w:val="000000"/>
                <w:sz w:val="18"/>
                <w:szCs w:val="18"/>
                <w:highlight w:val="none"/>
              </w:rPr>
            </w:pPr>
            <w:r>
              <w:rPr>
                <w:rFonts w:eastAsia="TimesNewRomanCYR" w:cs="TimesNewRomanCYR" w:ascii="Times New Roman" w:hAnsi="Times New Roman"/>
                <w:color w:themeColor="text1" w:val="000000"/>
                <w:sz w:val="18"/>
                <w:szCs w:val="18"/>
              </w:rPr>
            </w:r>
          </w:p>
        </w:tc>
      </w:tr>
      <w:tr>
        <w:trPr/>
        <w:tc>
          <w:tcPr>
            <w:tcW w:w="567" w:type="dxa"/>
            <w:tcBorders>
              <w:left w:val="single" w:sz="4" w:space="0" w:color="000000"/>
              <w:right w:val="single" w:sz="4" w:space="0" w:color="000000"/>
            </w:tcBorders>
          </w:tcPr>
          <w:p>
            <w:pPr>
              <w:pStyle w:val="ConsPlusNormal"/>
              <w:rPr>
                <w:rFonts w:ascii="Times New Roman" w:hAnsi="Times New Roman" w:cs="Times New Roman"/>
                <w:sz w:val="18"/>
                <w:szCs w:val="18"/>
              </w:rPr>
            </w:pPr>
            <w:r>
              <w:rPr>
                <w:rFonts w:cs="Times New Roman" w:ascii="Times New Roman" w:hAnsi="Times New Roman"/>
                <w:sz w:val="18"/>
                <w:szCs w:val="18"/>
              </w:rPr>
            </w:r>
          </w:p>
        </w:tc>
        <w:tc>
          <w:tcPr>
            <w:tcW w:w="1940" w:type="dxa"/>
            <w:tcBorders>
              <w:left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Глава IV Правил благоустройства</w:t>
            </w:r>
          </w:p>
          <w:p>
            <w:pPr>
              <w:pStyle w:val="ConsPlusNormal"/>
              <w:spacing w:before="0" w:after="0"/>
              <w:rPr>
                <w:rFonts w:ascii="Times New Roman" w:hAnsi="Times New Roman" w:eastAsia="Times New Roman" w:cs="Times New Roman"/>
                <w:sz w:val="18"/>
                <w:szCs w:val="18"/>
                <w:highlight w:val="none"/>
              </w:rPr>
            </w:pPr>
            <w:r>
              <w:rPr>
                <w:rFonts w:eastAsia="Times New Roman" w:cs="Times New Roman" w:ascii="Times New Roman" w:hAnsi="Times New Roman"/>
                <w:sz w:val="18"/>
                <w:szCs w:val="18"/>
              </w:rPr>
            </w:r>
          </w:p>
          <w:p>
            <w:pPr>
              <w:pStyle w:val="ConsPlusNormal"/>
              <w:spacing w:before="0" w:after="0"/>
              <w:rPr>
                <w:rFonts w:ascii="Times New Roman" w:hAnsi="Times New Roman"/>
                <w:sz w:val="18"/>
                <w:szCs w:val="18"/>
              </w:rPr>
            </w:pPr>
            <w:r>
              <w:rPr>
                <w:rFonts w:cs="Times New Roman" w:ascii="Times New Roman" w:hAnsi="Times New Roman"/>
                <w:sz w:val="18"/>
                <w:szCs w:val="18"/>
              </w:rPr>
              <w:t>Раздел 1. Общие требования к организации и благоустройства территории городского округа, видам работ по благоустройству</w:t>
            </w:r>
          </w:p>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6</w:t>
            </w:r>
          </w:p>
        </w:tc>
        <w:tc>
          <w:tcPr>
            <w:tcW w:w="1810" w:type="dxa"/>
            <w:tcBorders>
              <w:top w:val="single" w:sz="4" w:space="0" w:color="000000"/>
              <w:left w:val="single" w:sz="4" w:space="0" w:color="000000"/>
              <w:bottom w:val="single" w:sz="4" w:space="0" w:color="000000"/>
              <w:right w:val="single" w:sz="4" w:space="0" w:color="000000"/>
            </w:tcBorders>
          </w:tcPr>
          <w:p>
            <w:pPr>
              <w:pStyle w:val="Normal"/>
              <w:spacing w:lineRule="auto" w:line="238" w:before="0" w:after="0"/>
              <w:rPr>
                <w:rFonts w:ascii="Times New Roman" w:hAnsi="Times New Roman"/>
                <w:sz w:val="18"/>
                <w:szCs w:val="18"/>
              </w:rPr>
            </w:pPr>
            <w:r>
              <w:rPr>
                <w:rFonts w:cs="Times New Roman" w:ascii="Times New Roman" w:hAnsi="Times New Roman"/>
                <w:sz w:val="18"/>
                <w:szCs w:val="18"/>
              </w:rPr>
              <w:t>Общие требования к организации и благоустройства территории городского округа, видам работ по благоустройству</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ind w:hanging="0" w:left="0" w:right="0"/>
              <w:jc w:val="both"/>
              <w:rPr/>
            </w:pPr>
            <w:r>
              <w:rPr>
                <w:rFonts w:eastAsia="TimesNewRomanCYR" w:cs="TimesNewRomanCYR" w:ascii="Times New Roman" w:hAnsi="Times New Roman"/>
                <w:i w:val="false"/>
                <w:iCs w:val="false"/>
                <w:color w:themeColor="text1" w:val="000000"/>
                <w:sz w:val="18"/>
                <w:szCs w:val="18"/>
                <w:highlight w:val="white"/>
                <w:shd w:fill="F0F0F0" w:val="clear"/>
              </w:rPr>
              <w:t>И</w:t>
            </w:r>
            <w:r>
              <w:rPr>
                <w:rFonts w:eastAsia="TimesNewRomanCYR" w:cs="TimesNewRomanCYR" w:ascii="Times New Roman" w:hAnsi="Times New Roman"/>
                <w:i w:val="false"/>
                <w:iCs w:val="false"/>
                <w:color w:themeColor="text1" w:val="000000"/>
                <w:sz w:val="18"/>
                <w:szCs w:val="18"/>
                <w:highlight w:val="white"/>
                <w:shd w:fill="F0F0F0" w:val="clear"/>
              </w:rPr>
              <w:t>з</w:t>
            </w:r>
            <w:r>
              <w:rPr>
                <w:rFonts w:eastAsia="TimesNewRomanCYR" w:cs="TimesNewRomanCYR" w:ascii="Times New Roman" w:hAnsi="Times New Roman"/>
                <w:i w:val="false"/>
                <w:iCs w:val="false"/>
                <w:color w:themeColor="text1" w:val="000000"/>
                <w:sz w:val="18"/>
                <w:szCs w:val="18"/>
                <w:highlight w:val="white"/>
                <w:shd w:fill="F0F0F0" w:val="clear"/>
              </w:rPr>
              <w:t>м</w:t>
            </w:r>
            <w:r>
              <w:rPr>
                <w:rFonts w:eastAsia="TimesNewRomanCYR" w:cs="TimesNewRomanCYR" w:ascii="Times New Roman" w:hAnsi="Times New Roman"/>
                <w:i w:val="false"/>
                <w:iCs w:val="false"/>
                <w:color w:themeColor="text1" w:val="000000"/>
                <w:sz w:val="18"/>
                <w:szCs w:val="18"/>
                <w:highlight w:val="white"/>
                <w:shd w:fill="F0F0F0" w:val="clear"/>
              </w:rPr>
              <w:t>е</w:t>
            </w:r>
            <w:r>
              <w:rPr>
                <w:rFonts w:eastAsia="TimesNewRomanCYR" w:cs="TimesNewRomanCYR" w:ascii="Times New Roman" w:hAnsi="Times New Roman"/>
                <w:i w:val="false"/>
                <w:iCs w:val="false"/>
                <w:color w:themeColor="text1" w:val="000000"/>
                <w:sz w:val="18"/>
                <w:szCs w:val="18"/>
                <w:highlight w:val="white"/>
                <w:shd w:fill="F0F0F0" w:val="clear"/>
              </w:rPr>
              <w:t>н</w:t>
            </w:r>
            <w:r>
              <w:rPr>
                <w:rFonts w:eastAsia="TimesNewRomanCYR" w:cs="TimesNewRomanCYR" w:ascii="Times New Roman" w:hAnsi="Times New Roman"/>
                <w:i w:val="false"/>
                <w:iCs w:val="false"/>
                <w:color w:themeColor="text1" w:val="000000"/>
                <w:sz w:val="18"/>
                <w:szCs w:val="18"/>
                <w:highlight w:val="white"/>
                <w:shd w:fill="F0F0F0" w:val="clear"/>
              </w:rPr>
              <w:t>е</w:t>
            </w:r>
            <w:r>
              <w:rPr>
                <w:rFonts w:eastAsia="TimesNewRomanCYR" w:cs="TimesNewRomanCYR" w:ascii="Times New Roman" w:hAnsi="Times New Roman"/>
                <w:i w:val="false"/>
                <w:iCs w:val="false"/>
                <w:color w:themeColor="text1" w:val="000000"/>
                <w:sz w:val="18"/>
                <w:szCs w:val="18"/>
                <w:highlight w:val="white"/>
                <w:shd w:fill="F0F0F0" w:val="clear"/>
              </w:rPr>
              <w:t>н</w:t>
            </w:r>
            <w:r>
              <w:rPr>
                <w:rFonts w:eastAsia="TimesNewRomanCYR" w:cs="TimesNewRomanCYR" w:ascii="Times New Roman" w:hAnsi="Times New Roman"/>
                <w:i w:val="false"/>
                <w:iCs w:val="false"/>
                <w:color w:themeColor="text1" w:val="000000"/>
                <w:sz w:val="18"/>
                <w:szCs w:val="18"/>
                <w:highlight w:val="white"/>
                <w:shd w:fill="F0F0F0" w:val="clear"/>
              </w:rPr>
              <w:t>и</w:t>
            </w:r>
            <w:r>
              <w:rPr>
                <w:rFonts w:eastAsia="TimesNewRomanCYR" w:cs="TimesNewRomanCYR" w:ascii="Times New Roman" w:hAnsi="Times New Roman"/>
                <w:i w:val="false"/>
                <w:iCs w:val="false"/>
                <w:color w:themeColor="text1" w:val="000000"/>
                <w:sz w:val="18"/>
                <w:szCs w:val="18"/>
                <w:highlight w:val="white"/>
                <w:shd w:fill="F0F0F0" w:val="clear"/>
              </w:rPr>
              <w:t xml:space="preserve">я, </w:t>
            </w:r>
            <w:r>
              <w:rPr>
                <w:rFonts w:eastAsia="TimesNewRomanCYR" w:cs="TimesNewRomanCYR" w:ascii="Times New Roman" w:hAnsi="Times New Roman"/>
                <w:i w:val="false"/>
                <w:iCs w:val="false"/>
                <w:color w:themeColor="text1" w:val="000000"/>
                <w:sz w:val="18"/>
                <w:szCs w:val="18"/>
                <w:highlight w:val="white"/>
                <w:shd w:fill="F0F0F0" w:val="clear"/>
              </w:rPr>
              <w:t>п</w:t>
            </w:r>
            <w:r>
              <w:rPr>
                <w:rFonts w:eastAsia="TimesNewRomanCYR" w:cs="TimesNewRomanCYR" w:ascii="Times New Roman" w:hAnsi="Times New Roman"/>
                <w:i w:val="false"/>
                <w:iCs w:val="false"/>
                <w:color w:themeColor="text1" w:val="000000"/>
                <w:sz w:val="18"/>
                <w:szCs w:val="18"/>
                <w:highlight w:val="white"/>
                <w:shd w:fill="F0F0F0" w:val="clear"/>
              </w:rPr>
              <w:t>р</w:t>
            </w:r>
            <w:r>
              <w:rPr>
                <w:rFonts w:eastAsia="TimesNewRomanCYR" w:cs="TimesNewRomanCYR" w:ascii="Times New Roman" w:hAnsi="Times New Roman"/>
                <w:i w:val="false"/>
                <w:iCs w:val="false"/>
                <w:color w:themeColor="text1" w:val="000000"/>
                <w:sz w:val="18"/>
                <w:szCs w:val="18"/>
                <w:highlight w:val="white"/>
                <w:shd w:fill="F0F0F0" w:val="clear"/>
              </w:rPr>
              <w:t>е</w:t>
            </w:r>
            <w:r>
              <w:rPr>
                <w:rFonts w:eastAsia="TimesNewRomanCYR" w:cs="TimesNewRomanCYR" w:ascii="Times New Roman" w:hAnsi="Times New Roman"/>
                <w:i w:val="false"/>
                <w:iCs w:val="false"/>
                <w:color w:themeColor="text1" w:val="000000"/>
                <w:sz w:val="18"/>
                <w:szCs w:val="18"/>
                <w:highlight w:val="white"/>
                <w:shd w:fill="F0F0F0" w:val="clear"/>
              </w:rPr>
              <w:t>д</w:t>
            </w:r>
            <w:r>
              <w:rPr>
                <w:rFonts w:eastAsia="TimesNewRomanCYR" w:cs="TimesNewRomanCYR" w:ascii="Times New Roman" w:hAnsi="Times New Roman"/>
                <w:i w:val="false"/>
                <w:iCs w:val="false"/>
                <w:color w:themeColor="text1" w:val="000000"/>
                <w:sz w:val="18"/>
                <w:szCs w:val="18"/>
                <w:highlight w:val="white"/>
                <w:shd w:fill="F0F0F0" w:val="clear"/>
              </w:rPr>
              <w:t>у</w:t>
            </w:r>
            <w:r>
              <w:rPr>
                <w:rFonts w:eastAsia="TimesNewRomanCYR" w:cs="TimesNewRomanCYR" w:ascii="Times New Roman" w:hAnsi="Times New Roman"/>
                <w:i w:val="false"/>
                <w:iCs w:val="false"/>
                <w:color w:themeColor="text1" w:val="000000"/>
                <w:sz w:val="18"/>
                <w:szCs w:val="18"/>
                <w:highlight w:val="white"/>
                <w:shd w:fill="F0F0F0" w:val="clear"/>
              </w:rPr>
              <w:t>с</w:t>
            </w:r>
            <w:r>
              <w:rPr>
                <w:rFonts w:eastAsia="TimesNewRomanCYR" w:cs="TimesNewRomanCYR" w:ascii="Times New Roman" w:hAnsi="Times New Roman"/>
                <w:i w:val="false"/>
                <w:iCs w:val="false"/>
                <w:color w:themeColor="text1" w:val="000000"/>
                <w:sz w:val="18"/>
                <w:szCs w:val="18"/>
                <w:highlight w:val="white"/>
                <w:shd w:fill="F0F0F0" w:val="clear"/>
              </w:rPr>
              <w:t>м</w:t>
            </w:r>
            <w:r>
              <w:rPr>
                <w:rFonts w:eastAsia="TimesNewRomanCYR" w:cs="TimesNewRomanCYR" w:ascii="Times New Roman" w:hAnsi="Times New Roman"/>
                <w:i w:val="false"/>
                <w:iCs w:val="false"/>
                <w:color w:themeColor="text1" w:val="000000"/>
                <w:sz w:val="18"/>
                <w:szCs w:val="18"/>
                <w:highlight w:val="white"/>
                <w:shd w:fill="F0F0F0" w:val="clear"/>
              </w:rPr>
              <w:t>о</w:t>
            </w:r>
            <w:r>
              <w:rPr>
                <w:rFonts w:eastAsia="TimesNewRomanCYR" w:cs="TimesNewRomanCYR" w:ascii="Times New Roman" w:hAnsi="Times New Roman"/>
                <w:i w:val="false"/>
                <w:iCs w:val="false"/>
                <w:color w:themeColor="text1" w:val="000000"/>
                <w:sz w:val="18"/>
                <w:szCs w:val="18"/>
                <w:highlight w:val="white"/>
                <w:shd w:fill="F0F0F0" w:val="clear"/>
              </w:rPr>
              <w:t>т</w:t>
            </w:r>
            <w:r>
              <w:rPr>
                <w:rFonts w:eastAsia="TimesNewRomanCYR" w:cs="TimesNewRomanCYR" w:ascii="Times New Roman" w:hAnsi="Times New Roman"/>
                <w:i w:val="false"/>
                <w:iCs w:val="false"/>
                <w:color w:themeColor="text1" w:val="000000"/>
                <w:sz w:val="18"/>
                <w:szCs w:val="18"/>
                <w:highlight w:val="white"/>
                <w:shd w:fill="F0F0F0" w:val="clear"/>
              </w:rPr>
              <w:t>р</w:t>
            </w:r>
            <w:r>
              <w:rPr>
                <w:rFonts w:eastAsia="TimesNewRomanCYR" w:cs="TimesNewRomanCYR" w:ascii="Times New Roman" w:hAnsi="Times New Roman"/>
                <w:i w:val="false"/>
                <w:iCs w:val="false"/>
                <w:color w:themeColor="text1" w:val="000000"/>
                <w:sz w:val="18"/>
                <w:szCs w:val="18"/>
                <w:highlight w:val="white"/>
                <w:shd w:fill="F0F0F0" w:val="clear"/>
              </w:rPr>
              <w:t>е</w:t>
            </w:r>
            <w:r>
              <w:rPr>
                <w:rFonts w:eastAsia="TimesNewRomanCYR" w:cs="TimesNewRomanCYR" w:ascii="Times New Roman" w:hAnsi="Times New Roman"/>
                <w:i w:val="false"/>
                <w:iCs w:val="false"/>
                <w:color w:themeColor="text1" w:val="000000"/>
                <w:sz w:val="18"/>
                <w:szCs w:val="18"/>
                <w:highlight w:val="white"/>
                <w:shd w:fill="F0F0F0" w:val="clear"/>
              </w:rPr>
              <w:t>н</w:t>
            </w:r>
            <w:r>
              <w:rPr>
                <w:rFonts w:eastAsia="TimesNewRomanCYR" w:cs="TimesNewRomanCYR" w:ascii="Times New Roman" w:hAnsi="Times New Roman"/>
                <w:i w:val="false"/>
                <w:iCs w:val="false"/>
                <w:color w:themeColor="text1" w:val="000000"/>
                <w:sz w:val="18"/>
                <w:szCs w:val="18"/>
                <w:highlight w:val="white"/>
                <w:shd w:fill="F0F0F0" w:val="clear"/>
              </w:rPr>
              <w:t>н</w:t>
            </w:r>
            <w:r>
              <w:rPr>
                <w:rFonts w:eastAsia="TimesNewRomanCYR" w:cs="TimesNewRomanCYR" w:ascii="Times New Roman" w:hAnsi="Times New Roman"/>
                <w:i w:val="false"/>
                <w:iCs w:val="false"/>
                <w:color w:themeColor="text1" w:val="000000"/>
                <w:sz w:val="18"/>
                <w:szCs w:val="18"/>
                <w:highlight w:val="white"/>
                <w:shd w:fill="F0F0F0" w:val="clear"/>
              </w:rPr>
              <w:t>ы</w:t>
            </w:r>
            <w:r>
              <w:rPr>
                <w:rFonts w:eastAsia="TimesNewRomanCYR" w:cs="TimesNewRomanCYR" w:ascii="Times New Roman" w:hAnsi="Times New Roman"/>
                <w:i w:val="false"/>
                <w:iCs w:val="false"/>
                <w:color w:themeColor="text1" w:val="000000"/>
                <w:sz w:val="18"/>
                <w:szCs w:val="18"/>
                <w:highlight w:val="white"/>
                <w:shd w:fill="F0F0F0" w:val="clear"/>
              </w:rPr>
              <w:t>е</w:t>
            </w:r>
            <w:r>
              <w:rPr>
                <w:rFonts w:eastAsia="TimesNewRomanCYR" w:cs="TimesNewRomanCYR" w:ascii="Times New Roman" w:hAnsi="Times New Roman"/>
                <w:i w:val="false"/>
                <w:iCs w:val="false"/>
                <w:color w:themeColor="text1" w:val="000000"/>
                <w:sz w:val="18"/>
                <w:szCs w:val="18"/>
                <w:highlight w:val="white"/>
                <w:shd w:fill="F0F0F0" w:val="clear"/>
              </w:rPr>
              <w:t xml:space="preserve"> р</w:t>
            </w:r>
            <w:hyperlink r:id="rId5" w:tooltip="http://mobileonline.garant.ru/document/redirect/407604550/7">
              <w:r>
                <w:rPr>
                  <w:rStyle w:val="Style"/>
                  <w:rFonts w:eastAsia="TimesNewRomanCYR" w:cs="TimesNewRomanCYR" w:ascii="Times New Roman" w:hAnsi="Times New Roman"/>
                  <w:b w:val="false"/>
                  <w:i w:val="false"/>
                  <w:iCs w:val="false"/>
                  <w:color w:themeColor="text1" w:val="000000"/>
                  <w:sz w:val="18"/>
                  <w:szCs w:val="18"/>
                  <w:highlight w:val="white"/>
                  <w:shd w:fill="F0F0F0" w:val="clear"/>
                </w:rPr>
                <w:t>ешение</w:t>
              </w:r>
            </w:hyperlink>
            <w:r>
              <w:rPr>
                <w:rFonts w:eastAsia="TimesNewRomanCYR" w:cs="TimesNewRomanCYR" w:ascii="Times New Roman" w:hAnsi="Times New Roman"/>
                <w:i w:val="false"/>
                <w:iCs w:val="false"/>
                <w:color w:themeColor="text1" w:val="000000"/>
                <w:sz w:val="18"/>
                <w:szCs w:val="18"/>
                <w:highlight w:val="white"/>
                <w:shd w:fill="F0F0F0" w:val="clear"/>
              </w:rPr>
              <w:t xml:space="preserve">м </w:t>
            </w:r>
            <w:r>
              <w:rPr>
                <w:rFonts w:eastAsia="TimesNewRomanCYR" w:cs="TimesNewRomanCYR" w:ascii="Times New Roman" w:hAnsi="Times New Roman"/>
                <w:i w:val="false"/>
                <w:iCs w:val="false"/>
                <w:color w:val="000000"/>
                <w:sz w:val="18"/>
                <w:szCs w:val="18"/>
                <w:highlight w:val="white"/>
                <w:shd w:fill="F0F0F0" w:val="clear"/>
              </w:rPr>
              <w:t>С</w:t>
            </w:r>
            <w:r>
              <w:rPr>
                <w:rFonts w:eastAsia="TimesNewRomanCYR" w:cs="TimesNewRomanCYR" w:ascii="Times New Roman" w:hAnsi="Times New Roman"/>
                <w:i w:val="false"/>
                <w:iCs w:val="false"/>
                <w:color w:val="000000"/>
                <w:sz w:val="18"/>
                <w:szCs w:val="18"/>
                <w:highlight w:val="white"/>
                <w:shd w:fill="F0F0F0" w:val="clear"/>
              </w:rPr>
              <w:t>Д КГО</w:t>
            </w:r>
            <w:r>
              <w:rPr>
                <w:rFonts w:eastAsia="TimesNewRomanCYR" w:cs="TimesNewRomanCYR" w:ascii="Times New Roman" w:hAnsi="Times New Roman"/>
                <w:i w:val="false"/>
                <w:iCs w:val="false"/>
                <w:color w:themeColor="text1" w:val="000000"/>
                <w:sz w:val="18"/>
                <w:szCs w:val="18"/>
                <w:highlight w:val="white"/>
                <w:shd w:fill="F0F0F0" w:val="clear"/>
              </w:rPr>
              <w:t xml:space="preserve"> от 23.</w:t>
            </w:r>
            <w:r>
              <w:rPr>
                <w:rFonts w:eastAsia="TimesNewRomanCYR" w:cs="TimesNewRomanCYR" w:ascii="Times New Roman" w:hAnsi="Times New Roman"/>
                <w:i w:val="false"/>
                <w:iCs w:val="false"/>
                <w:color w:themeColor="text1" w:val="000000"/>
                <w:sz w:val="18"/>
                <w:szCs w:val="18"/>
                <w:highlight w:val="white"/>
                <w:shd w:fill="F0F0F0" w:val="clear"/>
              </w:rPr>
              <w:t>0</w:t>
            </w:r>
            <w:r>
              <w:rPr>
                <w:rFonts w:eastAsia="TimesNewRomanCYR" w:cs="TimesNewRomanCYR" w:ascii="Times New Roman" w:hAnsi="Times New Roman"/>
                <w:i w:val="false"/>
                <w:iCs w:val="false"/>
                <w:color w:themeColor="text1" w:val="000000"/>
                <w:sz w:val="18"/>
                <w:szCs w:val="18"/>
                <w:highlight w:val="white"/>
                <w:shd w:fill="F0F0F0" w:val="clear"/>
              </w:rPr>
              <w:t>8.</w:t>
            </w:r>
            <w:r>
              <w:rPr>
                <w:rFonts w:eastAsia="TimesNewRomanCYR" w:cs="TimesNewRomanCYR" w:ascii="Times New Roman" w:hAnsi="Times New Roman"/>
                <w:i w:val="false"/>
                <w:iCs w:val="false"/>
                <w:color w:themeColor="text1" w:val="000000"/>
                <w:sz w:val="18"/>
                <w:szCs w:val="18"/>
                <w:highlight w:val="white"/>
                <w:shd w:fill="F0F0F0" w:val="clear"/>
              </w:rPr>
              <w:t>2</w:t>
            </w:r>
            <w:r>
              <w:rPr>
                <w:rFonts w:eastAsia="TimesNewRomanCYR" w:cs="TimesNewRomanCYR" w:ascii="Times New Roman" w:hAnsi="Times New Roman"/>
                <w:i w:val="false"/>
                <w:iCs w:val="false"/>
                <w:color w:themeColor="text1" w:val="000000"/>
                <w:sz w:val="18"/>
                <w:szCs w:val="18"/>
                <w:highlight w:val="white"/>
                <w:shd w:fill="F0F0F0" w:val="clear"/>
              </w:rPr>
              <w:t>0</w:t>
            </w:r>
            <w:r>
              <w:rPr>
                <w:rFonts w:eastAsia="TimesNewRomanCYR" w:cs="TimesNewRomanCYR" w:ascii="Times New Roman" w:hAnsi="Times New Roman"/>
                <w:i w:val="false"/>
                <w:iCs w:val="false"/>
                <w:color w:themeColor="text1" w:val="000000"/>
                <w:sz w:val="18"/>
                <w:szCs w:val="18"/>
                <w:highlight w:val="white"/>
                <w:shd w:fill="F0F0F0" w:val="clear"/>
              </w:rPr>
              <w:t>2</w:t>
            </w:r>
            <w:r>
              <w:rPr>
                <w:rFonts w:eastAsia="TimesNewRomanCYR" w:cs="TimesNewRomanCYR" w:ascii="Times New Roman" w:hAnsi="Times New Roman"/>
                <w:i w:val="false"/>
                <w:iCs w:val="false"/>
                <w:color w:themeColor="text1" w:val="000000"/>
                <w:sz w:val="18"/>
                <w:szCs w:val="18"/>
                <w:highlight w:val="white"/>
                <w:shd w:fill="F0F0F0" w:val="clear"/>
              </w:rPr>
              <w:t>3</w:t>
            </w:r>
            <w:r>
              <w:rPr>
                <w:rFonts w:eastAsia="TimesNewRomanCYR" w:cs="TimesNewRomanCYR" w:ascii="Times New Roman" w:hAnsi="Times New Roman"/>
                <w:i w:val="false"/>
                <w:iCs w:val="false"/>
                <w:color w:themeColor="text1" w:val="000000"/>
                <w:sz w:val="18"/>
                <w:szCs w:val="18"/>
                <w:highlight w:val="white"/>
                <w:shd w:fill="F0F0F0" w:val="clear"/>
              </w:rPr>
              <w:t xml:space="preserve"> № 841-МО:</w:t>
            </w:r>
          </w:p>
          <w:p>
            <w:pPr>
              <w:pStyle w:val="ConsPlusNormal"/>
              <w:spacing w:before="0" w:after="0"/>
              <w:ind w:hanging="0" w:left="0" w:right="0"/>
              <w:jc w:val="both"/>
              <w:rPr>
                <w:rFonts w:ascii="Times New Roman" w:hAnsi="Times New Roman"/>
                <w:sz w:val="18"/>
                <w:szCs w:val="18"/>
              </w:rPr>
            </w:pPr>
            <w:r>
              <w:rPr>
                <w:rFonts w:cs="Times New Roman" w:ascii="Times New Roman" w:hAnsi="Times New Roman"/>
                <w:sz w:val="18"/>
                <w:szCs w:val="18"/>
              </w:rPr>
              <w:t xml:space="preserve">П. 36 </w:t>
            </w:r>
            <w:r>
              <w:rPr>
                <w:rFonts w:eastAsia="TimesNewRomanCYR" w:cs="TimesNewRomanCYR" w:ascii="Times New Roman" w:hAnsi="Times New Roman"/>
                <w:sz w:val="18"/>
                <w:szCs w:val="18"/>
              </w:rPr>
              <w:t>Юридические и физические лица, в том числе собственники индивидуальных жилых домов, индивидуальные предприниматели, проживающие или пребывающие на территории Копейского городского округа, за исключением собственников и (или) иных законных владельцев жилых помещений в многоквартирных домах, земельные участки под которыми не образованы или образованы по границам таких домов, обеспечивают содержание отведенной и прилегающей территории, объектов благоустройства в соответствии с настоящими Правилами.</w:t>
            </w:r>
          </w:p>
          <w:p>
            <w:pPr>
              <w:pStyle w:val="ConsPlusNormal"/>
              <w:spacing w:before="0" w:after="0"/>
              <w:ind w:hanging="0" w:left="0" w:right="0"/>
              <w:jc w:val="both"/>
              <w:rPr>
                <w:rFonts w:ascii="Times New Roman" w:hAnsi="Times New Roman"/>
                <w:sz w:val="18"/>
                <w:szCs w:val="18"/>
              </w:rPr>
            </w:pPr>
            <w:r>
              <w:rPr>
                <w:rFonts w:eastAsia="TimesNewRomanCYR" w:cs="TimesNewRomanCYR" w:ascii="Times New Roman" w:hAnsi="Times New Roman"/>
                <w:i w:val="false"/>
                <w:iCs w:val="false"/>
                <w:color w:themeColor="text1" w:val="000000"/>
                <w:sz w:val="18"/>
                <w:szCs w:val="18"/>
                <w:highlight w:val="white"/>
                <w:shd w:fill="F0F0F0" w:val="clear"/>
              </w:rPr>
              <w:t xml:space="preserve">Глава IV дополнена пунктом 37.1 </w:t>
            </w:r>
          </w:p>
          <w:p>
            <w:pPr>
              <w:pStyle w:val="ConsPlusNormal"/>
              <w:spacing w:before="0" w:after="0"/>
              <w:ind w:hanging="0" w:left="0" w:right="0"/>
              <w:jc w:val="both"/>
              <w:rPr>
                <w:rFonts w:ascii="Times New Roman" w:hAnsi="Times New Roman"/>
                <w:sz w:val="18"/>
                <w:szCs w:val="18"/>
              </w:rPr>
            </w:pPr>
            <w:r>
              <w:rPr>
                <w:rFonts w:eastAsia="TimesNewRomanCYR" w:cs="TimesNewRomanCYR" w:ascii="Times New Roman" w:hAnsi="Times New Roman"/>
                <w:i w:val="false"/>
                <w:iCs w:val="false"/>
                <w:color w:themeColor="text1" w:val="000000"/>
                <w:sz w:val="18"/>
                <w:szCs w:val="18"/>
                <w:highlight w:val="white"/>
                <w:shd w:fill="F0F0F0" w:val="clear"/>
              </w:rPr>
              <w:t xml:space="preserve">П. 37.1 </w:t>
            </w:r>
            <w:r>
              <w:rPr>
                <w:rFonts w:eastAsia="Times New Roman" w:cs="Times New Roman" w:ascii="Times New Roman" w:hAnsi="Times New Roman"/>
                <w:sz w:val="18"/>
                <w:szCs w:val="18"/>
              </w:rPr>
              <w:t>Настоящими Правилами устанавливаются следующие способы определения границ прилегающих территорий:</w:t>
            </w:r>
          </w:p>
          <w:p>
            <w:pPr>
              <w:pStyle w:val="Normal"/>
              <w:spacing w:lineRule="auto" w:line="240" w:before="0" w:after="0"/>
              <w:ind w:hanging="0" w:left="0" w:right="0"/>
              <w:jc w:val="both"/>
              <w:rPr>
                <w:rFonts w:ascii="Times New Roman" w:hAnsi="Times New Roman"/>
                <w:sz w:val="18"/>
                <w:szCs w:val="18"/>
              </w:rPr>
            </w:pPr>
            <w:r>
              <w:rPr>
                <w:rFonts w:eastAsia="Times New Roman" w:cs="Times New Roman" w:ascii="Times New Roman" w:hAnsi="Times New Roman"/>
                <w:sz w:val="18"/>
                <w:szCs w:val="18"/>
              </w:rPr>
              <w:t>1) отображение на схеме границы прилегающей территории;</w:t>
            </w:r>
          </w:p>
          <w:p>
            <w:pPr>
              <w:pStyle w:val="Normal"/>
              <w:spacing w:lineRule="auto" w:line="240" w:before="0" w:after="0"/>
              <w:ind w:hanging="0" w:left="0" w:right="0"/>
              <w:jc w:val="both"/>
              <w:rPr>
                <w:rFonts w:ascii="Times New Roman" w:hAnsi="Times New Roman"/>
                <w:sz w:val="18"/>
                <w:szCs w:val="18"/>
              </w:rPr>
            </w:pPr>
            <w:r>
              <w:rPr>
                <w:rFonts w:eastAsia="Times New Roman" w:cs="Times New Roman" w:ascii="Times New Roman" w:hAnsi="Times New Roman"/>
                <w:sz w:val="18"/>
                <w:szCs w:val="18"/>
              </w:rPr>
              <w:t>2) отображение на карте-схеме границы прилегающей территории, представляющей собой схематическое изображение границы прилегающей территории;</w:t>
            </w:r>
          </w:p>
          <w:p>
            <w:pPr>
              <w:pStyle w:val="Normal"/>
              <w:spacing w:lineRule="auto" w:line="240" w:before="0" w:after="0"/>
              <w:ind w:hanging="0" w:left="0" w:right="0"/>
              <w:jc w:val="both"/>
              <w:rPr>
                <w:rFonts w:ascii="Times New Roman" w:hAnsi="Times New Roman"/>
                <w:sz w:val="18"/>
                <w:szCs w:val="18"/>
              </w:rPr>
            </w:pPr>
            <w:bookmarkStart w:id="0" w:name="undefined"/>
            <w:bookmarkEnd w:id="0"/>
            <w:r>
              <w:rPr>
                <w:rFonts w:eastAsia="Times New Roman" w:cs="Times New Roman" w:ascii="Times New Roman" w:hAnsi="Times New Roman"/>
                <w:sz w:val="18"/>
                <w:szCs w:val="18"/>
              </w:rPr>
              <w:t>3) определение в метрах расстояния от внутренней до внешней границы прилегающей территории, порядок определения которого установлен настоящими Правилами.</w:t>
            </w:r>
          </w:p>
          <w:p>
            <w:pPr>
              <w:pStyle w:val="Normal"/>
              <w:spacing w:lineRule="auto" w:line="240" w:before="0" w:after="0"/>
              <w:ind w:hanging="0" w:left="0" w:right="0"/>
              <w:jc w:val="both"/>
              <w:rPr/>
            </w:pPr>
            <w:bookmarkStart w:id="1" w:name="undefined"/>
            <w:bookmarkEnd w:id="1"/>
            <w:r>
              <w:rPr>
                <w:rFonts w:eastAsia="Times New Roman" w:cs="Times New Roman" w:ascii="Times New Roman" w:hAnsi="Times New Roman"/>
                <w:sz w:val="18"/>
                <w:szCs w:val="18"/>
              </w:rPr>
              <w:t xml:space="preserve">Подготовка карты-схемы границ прилегающих территорий осуществляется администрацией городского округа с учетом ограничений, установленных </w:t>
            </w:r>
            <w:hyperlink r:id="rId6" w:tooltip="http://mobileonline.garant.ru/document/redirect/19853137/0">
              <w:r>
                <w:rPr>
                  <w:rStyle w:val="Style"/>
                  <w:rFonts w:eastAsia="Times New Roman" w:cs="Times New Roman" w:ascii="Times New Roman" w:hAnsi="Times New Roman"/>
                  <w:b w:val="false"/>
                  <w:color w:themeColor="text1" w:val="000000"/>
                  <w:sz w:val="18"/>
                  <w:szCs w:val="18"/>
                </w:rPr>
                <w:t>Законом</w:t>
              </w:r>
            </w:hyperlink>
            <w:r>
              <w:rPr>
                <w:rFonts w:eastAsia="Times New Roman" w:cs="Times New Roman" w:ascii="Times New Roman" w:hAnsi="Times New Roman"/>
                <w:color w:themeColor="text1" w:val="000000"/>
                <w:sz w:val="18"/>
                <w:szCs w:val="18"/>
              </w:rPr>
              <w:t xml:space="preserve"> </w:t>
            </w:r>
            <w:r>
              <w:rPr>
                <w:rFonts w:eastAsia="Times New Roman" w:cs="Times New Roman" w:ascii="Times New Roman" w:hAnsi="Times New Roman"/>
                <w:sz w:val="18"/>
                <w:szCs w:val="18"/>
              </w:rPr>
              <w:t>Челябинской области "О порядке определения границ прилегающих территорий". Формирование карт-схем границ прилегающих территорий осуществляется с учетом Методических рекомендаций по подготовке карты-схемы границ прилегающей территории ( к Правилам).</w:t>
            </w:r>
          </w:p>
          <w:p>
            <w:pPr>
              <w:pStyle w:val="Normal"/>
              <w:spacing w:lineRule="auto" w:line="240" w:before="0" w:after="0"/>
              <w:ind w:hanging="0" w:left="0" w:right="0"/>
              <w:jc w:val="both"/>
              <w:rPr>
                <w:rFonts w:ascii="Times New Roman" w:hAnsi="Times New Roman"/>
                <w:sz w:val="18"/>
                <w:szCs w:val="18"/>
              </w:rPr>
            </w:pPr>
            <w:r>
              <w:rPr>
                <w:rFonts w:eastAsia="Times New Roman" w:cs="Times New Roman" w:ascii="Times New Roman" w:hAnsi="Times New Roman"/>
                <w:sz w:val="18"/>
                <w:szCs w:val="18"/>
              </w:rPr>
              <w:t>В случае возникновения спорной ситуации при определении границ прилегающих территорий способом, предусмотренным  настоящего пункта, администрацией городского округа осуществляется подготовка карты-схемы границ прилегающих территорий.</w:t>
            </w:r>
          </w:p>
          <w:p>
            <w:pPr>
              <w:pStyle w:val="Normal"/>
              <w:spacing w:lineRule="auto" w:line="240" w:before="0" w:after="0"/>
              <w:ind w:hanging="0" w:left="0" w:right="0"/>
              <w:jc w:val="both"/>
              <w:rPr>
                <w:rFonts w:ascii="Times New Roman" w:hAnsi="Times New Roman" w:eastAsia="Times New Roman" w:cs="Times New Roman"/>
                <w:sz w:val="18"/>
                <w:szCs w:val="18"/>
              </w:rPr>
            </w:pPr>
            <w:r>
              <w:rPr>
                <w:rFonts w:eastAsia="Times New Roman" w:cs="Times New Roman" w:ascii="Times New Roman" w:hAnsi="Times New Roman"/>
                <w:sz w:val="18"/>
                <w:szCs w:val="18"/>
              </w:rPr>
              <w:t>При отсутствии схемы границ прилегающей территории, карты-схемы границ прилегающей территории определение прилегающей территории осуществляется в соответствии с  настоящего пункта.</w:t>
            </w:r>
          </w:p>
          <w:p>
            <w:pPr>
              <w:pStyle w:val="Normal"/>
              <w:spacing w:lineRule="auto" w:line="240" w:before="0" w:after="0"/>
              <w:ind w:hanging="0" w:left="0" w:right="0"/>
              <w:jc w:val="both"/>
              <w:rPr>
                <w:sz w:val="18"/>
                <w:szCs w:val="18"/>
              </w:rPr>
            </w:pPr>
            <w:r>
              <w:rPr>
                <w:rFonts w:eastAsia="TimesNewRomanCYR" w:cs="TimesNewRomanCYR" w:ascii="Times New Roman" w:hAnsi="Times New Roman"/>
                <w:i w:val="false"/>
                <w:iCs w:val="false"/>
                <w:color w:themeColor="text1" w:val="000000"/>
                <w:sz w:val="18"/>
                <w:szCs w:val="18"/>
                <w:highlight w:val="white"/>
                <w:shd w:fill="F0F0F0" w:val="clear"/>
              </w:rPr>
              <w:t>П. 38, 39, 40 изменены</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П. 38. При осуществлении мероприятий по содержанию и благоустройству территории границы прилегающей территории определяются исходя из следующих параметров:</w:t>
            </w:r>
          </w:p>
          <w:p>
            <w:pPr>
              <w:pStyle w:val="Normal"/>
              <w:spacing w:lineRule="auto" w:line="240" w:before="0" w:after="0"/>
              <w:ind w:hanging="0" w:left="0" w:right="0"/>
              <w:jc w:val="both"/>
              <w:rPr>
                <w:rFonts w:ascii="Times New Roman" w:hAnsi="Times New Roman"/>
                <w:sz w:val="18"/>
                <w:szCs w:val="18"/>
              </w:rPr>
            </w:pPr>
            <w:bookmarkStart w:id="2" w:name="undefined_Копия_1"/>
            <w:bookmarkEnd w:id="2"/>
            <w:r>
              <w:rPr>
                <w:rFonts w:eastAsia="TimesNewRomanCYR" w:cs="TimesNewRomanCYR" w:ascii="Times New Roman" w:hAnsi="Times New Roman"/>
                <w:sz w:val="18"/>
                <w:szCs w:val="18"/>
              </w:rPr>
              <w:t>1) для отдельно стоящих временных нестационарных объектов мелкорозничной торговли, бытового обслуживания и услуг (киосков, торговых остановочных комплексов, павильонов, автомоек и др.), гаражей, объектов развозной торговли, расположенных:</w:t>
            </w:r>
          </w:p>
          <w:p>
            <w:pPr>
              <w:pStyle w:val="Normal"/>
              <w:spacing w:lineRule="auto" w:line="240" w:before="0" w:after="0"/>
              <w:ind w:hanging="0" w:left="0" w:right="0"/>
              <w:jc w:val="both"/>
              <w:rPr>
                <w:rFonts w:ascii="Times New Roman" w:hAnsi="Times New Roman"/>
                <w:sz w:val="18"/>
                <w:szCs w:val="18"/>
              </w:rPr>
            </w:pPr>
            <w:bookmarkStart w:id="3" w:name="undefined_Копия_1"/>
            <w:bookmarkEnd w:id="3"/>
            <w:r>
              <w:rPr>
                <w:rFonts w:eastAsia="TimesNewRomanCYR" w:cs="TimesNewRomanCYR" w:ascii="Times New Roman" w:hAnsi="Times New Roman"/>
                <w:sz w:val="18"/>
                <w:szCs w:val="18"/>
              </w:rPr>
              <w:t>а) на жилых территориях - 25 метров по периметру;</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б) на территории общего пользования - 25 метров по периметру;</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в) на производственных территориях - 10 метров по периметру;</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г) на остановочных площадках общественного транспорта - 25 метров по периметру, а также 0,5 метра лотка дороги, при этом запрещается смет мусора на проезжую часть дороги;</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д) на прочих территориях - 10 метров по периметру;</w:t>
            </w:r>
          </w:p>
          <w:p>
            <w:pPr>
              <w:pStyle w:val="Normal"/>
              <w:spacing w:lineRule="auto" w:line="240" w:before="0" w:after="0"/>
              <w:ind w:hanging="0" w:left="0" w:right="0"/>
              <w:jc w:val="both"/>
              <w:rPr>
                <w:rFonts w:ascii="Times New Roman" w:hAnsi="Times New Roman"/>
                <w:sz w:val="18"/>
                <w:szCs w:val="18"/>
              </w:rPr>
            </w:pPr>
            <w:bookmarkStart w:id="4" w:name="undefined_Копия_2"/>
            <w:bookmarkEnd w:id="4"/>
            <w:r>
              <w:rPr>
                <w:rFonts w:eastAsia="TimesNewRomanCYR" w:cs="TimesNewRomanCYR" w:ascii="Times New Roman" w:hAnsi="Times New Roman"/>
                <w:sz w:val="18"/>
                <w:szCs w:val="18"/>
              </w:rPr>
              <w:t>2) для индивидуальных жилых домов - 10 метров по периметру усадьбы, а со стороны въезда (входа) - до проезжей части дороги;</w:t>
            </w:r>
          </w:p>
          <w:p>
            <w:pPr>
              <w:pStyle w:val="Normal"/>
              <w:spacing w:lineRule="auto" w:line="240" w:before="0" w:after="0"/>
              <w:ind w:hanging="0" w:left="0" w:right="0"/>
              <w:jc w:val="both"/>
              <w:rPr>
                <w:rFonts w:ascii="Times New Roman" w:hAnsi="Times New Roman"/>
                <w:sz w:val="18"/>
                <w:szCs w:val="18"/>
              </w:rPr>
            </w:pPr>
            <w:bookmarkStart w:id="5" w:name="undefined_Копия_2"/>
            <w:bookmarkStart w:id="6" w:name="undefined_Копия_3"/>
            <w:bookmarkEnd w:id="5"/>
            <w:bookmarkEnd w:id="6"/>
            <w:r>
              <w:rPr>
                <w:rFonts w:eastAsia="TimesNewRomanCYR" w:cs="TimesNewRomanCYR" w:ascii="Times New Roman" w:hAnsi="Times New Roman"/>
                <w:sz w:val="18"/>
                <w:szCs w:val="18"/>
              </w:rPr>
              <w:t>3) для нежилых зданий (комплекса зданий):</w:t>
            </w:r>
          </w:p>
          <w:p>
            <w:pPr>
              <w:pStyle w:val="Normal"/>
              <w:spacing w:lineRule="auto" w:line="240" w:before="0" w:after="0"/>
              <w:ind w:hanging="0" w:left="0" w:right="0"/>
              <w:jc w:val="both"/>
              <w:rPr>
                <w:rFonts w:ascii="Times New Roman" w:hAnsi="Times New Roman"/>
                <w:sz w:val="18"/>
                <w:szCs w:val="18"/>
              </w:rPr>
            </w:pPr>
            <w:bookmarkStart w:id="7" w:name="undefined_Копия_3"/>
            <w:bookmarkStart w:id="8" w:name="undefined_Копия_4"/>
            <w:bookmarkEnd w:id="7"/>
            <w:bookmarkEnd w:id="8"/>
            <w:r>
              <w:rPr>
                <w:rFonts w:eastAsia="TimesNewRomanCYR" w:cs="TimesNewRomanCYR" w:ascii="Times New Roman" w:hAnsi="Times New Roman"/>
                <w:sz w:val="18"/>
                <w:szCs w:val="18"/>
              </w:rPr>
              <w:t>а) по длине - на длину здания плюс половина санитарного разрыва с соседними зданиями, в случае отсутствия соседних зданий - 25 метров;</w:t>
            </w:r>
          </w:p>
          <w:p>
            <w:pPr>
              <w:pStyle w:val="Normal"/>
              <w:spacing w:lineRule="auto" w:line="240" w:before="0" w:after="0"/>
              <w:ind w:hanging="0" w:left="0" w:right="0"/>
              <w:jc w:val="both"/>
              <w:rPr>
                <w:rFonts w:ascii="Times New Roman" w:hAnsi="Times New Roman"/>
                <w:sz w:val="18"/>
                <w:szCs w:val="18"/>
              </w:rPr>
            </w:pPr>
            <w:bookmarkStart w:id="9" w:name="undefined_Копия_4"/>
            <w:bookmarkStart w:id="10" w:name="undefined_Копия_5"/>
            <w:bookmarkEnd w:id="9"/>
            <w:bookmarkEnd w:id="10"/>
            <w:r>
              <w:rPr>
                <w:rFonts w:eastAsia="TimesNewRomanCYR" w:cs="TimesNewRomanCYR" w:ascii="Times New Roman" w:hAnsi="Times New Roman"/>
                <w:sz w:val="18"/>
                <w:szCs w:val="18"/>
              </w:rPr>
              <w:t>б) по ширине - от фасада здания до края проезжей части дороги, а в случаях:</w:t>
            </w:r>
          </w:p>
          <w:p>
            <w:pPr>
              <w:pStyle w:val="Normal"/>
              <w:spacing w:lineRule="auto" w:line="240" w:before="0" w:after="0"/>
              <w:ind w:hanging="0" w:left="0" w:right="0"/>
              <w:jc w:val="both"/>
              <w:rPr>
                <w:rFonts w:ascii="Times New Roman" w:hAnsi="Times New Roman"/>
                <w:sz w:val="18"/>
                <w:szCs w:val="18"/>
              </w:rPr>
            </w:pPr>
            <w:bookmarkStart w:id="11" w:name="undefined_Копия_5"/>
            <w:bookmarkEnd w:id="11"/>
            <w:r>
              <w:rPr>
                <w:rFonts w:eastAsia="TimesNewRomanCYR" w:cs="TimesNewRomanCYR" w:ascii="Times New Roman" w:hAnsi="Times New Roman"/>
                <w:sz w:val="18"/>
                <w:szCs w:val="18"/>
              </w:rPr>
              <w:t>- наличия местного проезда, сопровождающего основную проезжую часть улицы, - до ближайшего к зданию бордюра местного проезда,</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 устройства на магистралях бульваров - до ближайшего бордюра ближнего к зданию тротуара;</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 устройства вокруг здания противопожарного проезда с техническим тротуаром - до дальнего бордюра противопожарного проезда;</w:t>
            </w:r>
          </w:p>
          <w:p>
            <w:pPr>
              <w:pStyle w:val="Normal"/>
              <w:spacing w:lineRule="auto" w:line="240" w:before="0" w:after="0"/>
              <w:ind w:hanging="0" w:left="0" w:right="0"/>
              <w:jc w:val="both"/>
              <w:rPr>
                <w:rFonts w:ascii="Times New Roman" w:hAnsi="Times New Roman"/>
                <w:sz w:val="18"/>
                <w:szCs w:val="18"/>
              </w:rPr>
            </w:pPr>
            <w:bookmarkStart w:id="12" w:name="undefined_Копия_6"/>
            <w:bookmarkEnd w:id="12"/>
            <w:r>
              <w:rPr>
                <w:rFonts w:eastAsia="TimesNewRomanCYR" w:cs="TimesNewRomanCYR" w:ascii="Times New Roman" w:hAnsi="Times New Roman"/>
                <w:sz w:val="18"/>
                <w:szCs w:val="18"/>
              </w:rPr>
              <w:t>4) для нежилых зданий (комплекса зданий), за исключением многоквартирных домов и нежилых помещений в многоквартирных домах - 25 метров по периметру от границ отведенного земельного участка, а в случае, если земельный участок не поставлен на кадастровый учет - от стен здания;</w:t>
            </w:r>
          </w:p>
          <w:p>
            <w:pPr>
              <w:pStyle w:val="Normal"/>
              <w:spacing w:lineRule="auto" w:line="240" w:before="0" w:after="0"/>
              <w:ind w:hanging="0" w:left="0" w:right="0"/>
              <w:jc w:val="both"/>
              <w:rPr>
                <w:rFonts w:ascii="Times New Roman" w:hAnsi="Times New Roman"/>
                <w:sz w:val="18"/>
                <w:szCs w:val="18"/>
              </w:rPr>
            </w:pPr>
            <w:bookmarkStart w:id="13" w:name="undefined_Копия_6"/>
            <w:bookmarkStart w:id="14" w:name="undefined_Копия_7"/>
            <w:bookmarkEnd w:id="13"/>
            <w:bookmarkEnd w:id="14"/>
            <w:r>
              <w:rPr>
                <w:rFonts w:eastAsia="TimesNewRomanCYR" w:cs="TimesNewRomanCYR" w:ascii="Times New Roman" w:hAnsi="Times New Roman"/>
                <w:sz w:val="18"/>
                <w:szCs w:val="18"/>
              </w:rPr>
              <w:t>4.1) для нежилых помещений многоквартирного дома, не относящихся к общему имуществу, в том числе встроенных и пристроенных нежилых помещений:</w:t>
            </w:r>
          </w:p>
          <w:p>
            <w:pPr>
              <w:pStyle w:val="Normal"/>
              <w:spacing w:lineRule="auto" w:line="240" w:before="0" w:after="0"/>
              <w:ind w:hanging="0" w:left="0" w:right="0"/>
              <w:jc w:val="both"/>
              <w:rPr>
                <w:rFonts w:ascii="Times New Roman" w:hAnsi="Times New Roman"/>
                <w:sz w:val="18"/>
                <w:szCs w:val="18"/>
              </w:rPr>
            </w:pPr>
            <w:bookmarkStart w:id="15" w:name="undefined_Копия_7"/>
            <w:bookmarkEnd w:id="15"/>
            <w:r>
              <w:rPr>
                <w:rFonts w:eastAsia="TimesNewRomanCYR" w:cs="TimesNewRomanCYR" w:ascii="Times New Roman" w:hAnsi="Times New Roman"/>
                <w:sz w:val="18"/>
                <w:szCs w:val="18"/>
              </w:rPr>
              <w:t>- в длину - по длине занимаемого нежилого помещения;</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 по ширине - в случае размещения нежилого помещения с фасадной стороны здания - до края проезжей части дороги, за исключением случаев, когда обязательства по содержанию возложены на других лиц.</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торговой, хозяйственной и иной деятельности (тротуарные дорожки, тротуары для входа в нежилое помещение, парковки, объекты озеленения и прочие объекты и элементы благоустройства);</w:t>
            </w:r>
          </w:p>
          <w:p>
            <w:pPr>
              <w:pStyle w:val="Normal"/>
              <w:spacing w:lineRule="auto" w:line="240" w:before="0" w:after="0"/>
              <w:ind w:hanging="0" w:left="0" w:right="0"/>
              <w:jc w:val="both"/>
              <w:rPr>
                <w:rFonts w:ascii="Times New Roman" w:hAnsi="Times New Roman"/>
                <w:sz w:val="18"/>
                <w:szCs w:val="18"/>
              </w:rPr>
            </w:pPr>
            <w:bookmarkStart w:id="16" w:name="undefined_Копия_8"/>
            <w:bookmarkEnd w:id="16"/>
            <w:r>
              <w:rPr>
                <w:rFonts w:eastAsia="TimesNewRomanCYR" w:cs="TimesNewRomanCYR" w:ascii="Times New Roman" w:hAnsi="Times New Roman"/>
                <w:sz w:val="18"/>
                <w:szCs w:val="18"/>
              </w:rPr>
              <w:t>5) для автостоянок - 25 метров по периметру;</w:t>
            </w:r>
          </w:p>
          <w:p>
            <w:pPr>
              <w:pStyle w:val="Normal"/>
              <w:spacing w:lineRule="auto" w:line="240" w:before="0" w:after="0"/>
              <w:ind w:hanging="0" w:left="0" w:right="0"/>
              <w:jc w:val="both"/>
              <w:rPr>
                <w:rFonts w:ascii="Times New Roman" w:hAnsi="Times New Roman"/>
                <w:sz w:val="18"/>
                <w:szCs w:val="18"/>
              </w:rPr>
            </w:pPr>
            <w:bookmarkStart w:id="17" w:name="undefined_Копия_8"/>
            <w:bookmarkStart w:id="18" w:name="undefined_Копия_9"/>
            <w:bookmarkEnd w:id="17"/>
            <w:bookmarkEnd w:id="18"/>
            <w:r>
              <w:rPr>
                <w:rFonts w:eastAsia="TimesNewRomanCYR" w:cs="TimesNewRomanCYR" w:ascii="Times New Roman" w:hAnsi="Times New Roman"/>
                <w:sz w:val="18"/>
                <w:szCs w:val="18"/>
              </w:rPr>
              <w:t>6) для промышленных объектов - 50 метров от ограждения по периметру;</w:t>
            </w:r>
          </w:p>
          <w:p>
            <w:pPr>
              <w:pStyle w:val="Normal"/>
              <w:spacing w:lineRule="auto" w:line="240" w:before="0" w:after="0"/>
              <w:ind w:hanging="0" w:left="0" w:right="0"/>
              <w:jc w:val="both"/>
              <w:rPr>
                <w:rFonts w:ascii="Times New Roman" w:hAnsi="Times New Roman"/>
                <w:sz w:val="18"/>
                <w:szCs w:val="18"/>
              </w:rPr>
            </w:pPr>
            <w:bookmarkStart w:id="19" w:name="undefined_Копия_9"/>
            <w:bookmarkStart w:id="20" w:name="undefined_Копия_10"/>
            <w:bookmarkEnd w:id="19"/>
            <w:bookmarkEnd w:id="20"/>
            <w:r>
              <w:rPr>
                <w:rFonts w:eastAsia="TimesNewRomanCYR" w:cs="TimesNewRomanCYR" w:ascii="Times New Roman" w:hAnsi="Times New Roman"/>
                <w:sz w:val="18"/>
                <w:szCs w:val="18"/>
              </w:rPr>
              <w:t>7) для строительных объектов - 15 метров от ограждения по периметру;</w:t>
            </w:r>
          </w:p>
          <w:p>
            <w:pPr>
              <w:pStyle w:val="Normal"/>
              <w:spacing w:lineRule="auto" w:line="240" w:before="0" w:after="0"/>
              <w:ind w:hanging="0" w:left="0" w:right="0"/>
              <w:jc w:val="both"/>
              <w:rPr>
                <w:rFonts w:ascii="Times New Roman" w:hAnsi="Times New Roman"/>
                <w:sz w:val="18"/>
                <w:szCs w:val="18"/>
              </w:rPr>
            </w:pPr>
            <w:bookmarkStart w:id="21" w:name="undefined_Копия_10"/>
            <w:bookmarkStart w:id="22" w:name="undefined_Копия_11"/>
            <w:bookmarkEnd w:id="21"/>
            <w:bookmarkEnd w:id="22"/>
            <w:r>
              <w:rPr>
                <w:rFonts w:eastAsia="TimesNewRomanCYR" w:cs="TimesNewRomanCYR" w:ascii="Times New Roman" w:hAnsi="Times New Roman"/>
                <w:sz w:val="18"/>
                <w:szCs w:val="18"/>
              </w:rPr>
              <w:t>8) для отдельно стоящих тепловых, трансформаторных подстанций, зданий и сооружений инженерно-технического назначения - в пределах охранной зоны на расстоянии не менее 3 м в каждую сторону от границ таких инженерных сооружений (в случае, если в этой охранной зоне земельный участок не предоставлен на каком-либо вещном праве третьим лицам);</w:t>
            </w:r>
          </w:p>
          <w:p>
            <w:pPr>
              <w:pStyle w:val="Normal"/>
              <w:spacing w:lineRule="auto" w:line="240" w:before="0" w:after="0"/>
              <w:ind w:hanging="0" w:left="0" w:right="0"/>
              <w:jc w:val="both"/>
              <w:rPr>
                <w:rFonts w:ascii="Times New Roman" w:hAnsi="Times New Roman"/>
                <w:sz w:val="18"/>
                <w:szCs w:val="18"/>
              </w:rPr>
            </w:pPr>
            <w:bookmarkStart w:id="23" w:name="undefined_Копия_11"/>
            <w:bookmarkStart w:id="24" w:name="undefined_Копия_12"/>
            <w:bookmarkEnd w:id="23"/>
            <w:bookmarkEnd w:id="24"/>
            <w:r>
              <w:rPr>
                <w:rFonts w:eastAsia="TimesNewRomanCYR" w:cs="TimesNewRomanCYR" w:ascii="Times New Roman" w:hAnsi="Times New Roman"/>
                <w:sz w:val="18"/>
                <w:szCs w:val="18"/>
              </w:rPr>
              <w:t>9) для гаражно-строительных кооперативов, садоводческих объединений - от границ в размере 25 метров по периметру;</w:t>
            </w:r>
          </w:p>
          <w:p>
            <w:pPr>
              <w:pStyle w:val="Normal"/>
              <w:spacing w:lineRule="auto" w:line="240" w:before="0" w:after="0"/>
              <w:ind w:hanging="0" w:left="0" w:right="0"/>
              <w:jc w:val="both"/>
              <w:rPr>
                <w:rFonts w:ascii="Times New Roman" w:hAnsi="Times New Roman"/>
                <w:sz w:val="18"/>
                <w:szCs w:val="18"/>
              </w:rPr>
            </w:pPr>
            <w:bookmarkStart w:id="25" w:name="undefined_Копия_12"/>
            <w:bookmarkStart w:id="26" w:name="undefined_Копия_13"/>
            <w:bookmarkEnd w:id="25"/>
            <w:bookmarkEnd w:id="26"/>
            <w:r>
              <w:rPr>
                <w:rFonts w:eastAsia="TimesNewRomanCYR" w:cs="TimesNewRomanCYR" w:ascii="Times New Roman" w:hAnsi="Times New Roman"/>
                <w:sz w:val="18"/>
                <w:szCs w:val="18"/>
              </w:rPr>
              <w:t>10) для автозаправочных станций (далее - АЗС), автогазозаправочных станций (далее - АГЗС) - 50 метров по периметру и подъезды к объектам;</w:t>
            </w:r>
          </w:p>
          <w:p>
            <w:pPr>
              <w:pStyle w:val="Normal"/>
              <w:spacing w:lineRule="auto" w:line="240" w:before="0" w:after="0"/>
              <w:ind w:hanging="0" w:left="0" w:right="0"/>
              <w:jc w:val="both"/>
              <w:rPr>
                <w:rFonts w:ascii="Times New Roman" w:hAnsi="Times New Roman"/>
                <w:sz w:val="18"/>
                <w:szCs w:val="18"/>
              </w:rPr>
            </w:pPr>
            <w:bookmarkStart w:id="27" w:name="undefined_Копия_13"/>
            <w:bookmarkStart w:id="28" w:name="undefined_Копия_14"/>
            <w:bookmarkEnd w:id="27"/>
            <w:bookmarkEnd w:id="28"/>
            <w:r>
              <w:rPr>
                <w:rFonts w:eastAsia="TimesNewRomanCYR" w:cs="TimesNewRomanCYR" w:ascii="Times New Roman" w:hAnsi="Times New Roman"/>
                <w:sz w:val="18"/>
                <w:szCs w:val="18"/>
              </w:rPr>
              <w:t>11) для контейнерных площадок - 5 метров в каждую сторону;</w:t>
            </w:r>
          </w:p>
          <w:p>
            <w:pPr>
              <w:pStyle w:val="Normal"/>
              <w:spacing w:lineRule="auto" w:line="240" w:before="0" w:after="0"/>
              <w:ind w:hanging="0" w:left="0" w:right="0"/>
              <w:jc w:val="both"/>
              <w:rPr>
                <w:rFonts w:ascii="Times New Roman" w:hAnsi="Times New Roman"/>
                <w:sz w:val="18"/>
                <w:szCs w:val="18"/>
              </w:rPr>
            </w:pPr>
            <w:bookmarkStart w:id="29" w:name="undefined_Копия_14"/>
            <w:bookmarkStart w:id="30" w:name="undefined_Копия_15"/>
            <w:bookmarkEnd w:id="29"/>
            <w:bookmarkEnd w:id="30"/>
            <w:r>
              <w:rPr>
                <w:rFonts w:eastAsia="TimesNewRomanCYR" w:cs="TimesNewRomanCYR" w:ascii="Times New Roman" w:hAnsi="Times New Roman"/>
                <w:sz w:val="18"/>
                <w:szCs w:val="18"/>
              </w:rPr>
              <w:t>12) для иных территорий:</w:t>
            </w:r>
          </w:p>
          <w:p>
            <w:pPr>
              <w:pStyle w:val="Normal"/>
              <w:spacing w:lineRule="auto" w:line="240" w:before="0" w:after="0"/>
              <w:ind w:hanging="0" w:left="0" w:right="0"/>
              <w:jc w:val="both"/>
              <w:rPr>
                <w:rFonts w:ascii="Times New Roman" w:hAnsi="Times New Roman"/>
                <w:sz w:val="18"/>
                <w:szCs w:val="18"/>
              </w:rPr>
            </w:pPr>
            <w:bookmarkStart w:id="31" w:name="undefined_Копия_15"/>
            <w:bookmarkStart w:id="32" w:name="undefined_Копия_16"/>
            <w:bookmarkEnd w:id="31"/>
            <w:bookmarkEnd w:id="32"/>
            <w:r>
              <w:rPr>
                <w:rFonts w:eastAsia="TimesNewRomanCYR" w:cs="TimesNewRomanCYR" w:ascii="Times New Roman" w:hAnsi="Times New Roman"/>
                <w:sz w:val="18"/>
                <w:szCs w:val="18"/>
              </w:rPr>
              <w:t>а) автомобильных дорог - 25 метров от края проезжей части;</w:t>
            </w:r>
          </w:p>
          <w:p>
            <w:pPr>
              <w:pStyle w:val="Normal"/>
              <w:spacing w:lineRule="auto" w:line="240" w:before="0" w:after="0"/>
              <w:ind w:hanging="0" w:left="0" w:right="0"/>
              <w:jc w:val="both"/>
              <w:rPr>
                <w:rFonts w:ascii="Times New Roman" w:hAnsi="Times New Roman"/>
                <w:sz w:val="18"/>
                <w:szCs w:val="18"/>
              </w:rPr>
            </w:pPr>
            <w:bookmarkStart w:id="33" w:name="undefined_Копия_16"/>
            <w:bookmarkStart w:id="34" w:name="undefined_Копия_17"/>
            <w:bookmarkEnd w:id="33"/>
            <w:bookmarkEnd w:id="34"/>
            <w:r>
              <w:rPr>
                <w:rFonts w:eastAsia="TimesNewRomanCYR" w:cs="TimesNewRomanCYR" w:ascii="Times New Roman" w:hAnsi="Times New Roman"/>
                <w:sz w:val="18"/>
                <w:szCs w:val="18"/>
              </w:rPr>
              <w:t>б) линий железнодорожного транспорта общего и промышленного назначения - в пределах полосы отвода (откосы выемок и насыпей, переезды, переходы через пути);</w:t>
            </w:r>
          </w:p>
          <w:p>
            <w:pPr>
              <w:pStyle w:val="Normal"/>
              <w:spacing w:lineRule="auto" w:line="240" w:before="0" w:after="0"/>
              <w:ind w:hanging="0" w:left="0" w:right="0"/>
              <w:jc w:val="both"/>
              <w:rPr>
                <w:rFonts w:ascii="Times New Roman" w:hAnsi="Times New Roman"/>
                <w:sz w:val="18"/>
                <w:szCs w:val="18"/>
              </w:rPr>
            </w:pPr>
            <w:bookmarkStart w:id="35" w:name="undefined_Копия_17"/>
            <w:bookmarkStart w:id="36" w:name="undefined_Копия_18"/>
            <w:bookmarkEnd w:id="35"/>
            <w:bookmarkEnd w:id="36"/>
            <w:r>
              <w:rPr>
                <w:rFonts w:eastAsia="TimesNewRomanCYR" w:cs="TimesNewRomanCYR" w:ascii="Times New Roman" w:hAnsi="Times New Roman"/>
                <w:sz w:val="18"/>
                <w:szCs w:val="18"/>
              </w:rPr>
              <w:t>в) территорий, прилегающих к входам в подземные и надземные пешеходные переходы, - 5 метров по периметру наземной части перехода или вестибюля;</w:t>
            </w:r>
          </w:p>
          <w:p>
            <w:pPr>
              <w:pStyle w:val="Normal"/>
              <w:spacing w:lineRule="auto" w:line="240" w:before="0" w:after="0"/>
              <w:ind w:hanging="0" w:left="0" w:right="0"/>
              <w:jc w:val="both"/>
              <w:rPr>
                <w:rFonts w:ascii="Times New Roman" w:hAnsi="Times New Roman"/>
                <w:sz w:val="18"/>
                <w:szCs w:val="18"/>
              </w:rPr>
            </w:pPr>
            <w:bookmarkStart w:id="37" w:name="undefined_Копия_18"/>
            <w:bookmarkStart w:id="38" w:name="undefined_Копия_19"/>
            <w:bookmarkEnd w:id="37"/>
            <w:bookmarkEnd w:id="38"/>
            <w:r>
              <w:rPr>
                <w:rFonts w:eastAsia="TimesNewRomanCYR" w:cs="TimesNewRomanCYR" w:ascii="Times New Roman" w:hAnsi="Times New Roman"/>
                <w:sz w:val="18"/>
                <w:szCs w:val="18"/>
              </w:rPr>
              <w:t>г) территорий, прилегающих к наземным, надземным инженерным коммуникациям и сооружениям, - по 5 метров в каждую сторону, если иное не предусмотрено договором; для подземных инженерных коммуникаций, их составных частей и элементов (коллекторов, колодцев и люков) границы прилегающей территории не устанавливаются;</w:t>
            </w:r>
          </w:p>
          <w:p>
            <w:pPr>
              <w:pStyle w:val="Normal"/>
              <w:spacing w:lineRule="auto" w:line="240" w:before="0" w:after="0"/>
              <w:ind w:hanging="0" w:left="0" w:right="0"/>
              <w:jc w:val="both"/>
              <w:rPr>
                <w:rFonts w:ascii="Times New Roman" w:hAnsi="Times New Roman"/>
                <w:sz w:val="18"/>
                <w:szCs w:val="18"/>
              </w:rPr>
            </w:pPr>
            <w:bookmarkStart w:id="39" w:name="undefined_Копия_19"/>
            <w:bookmarkStart w:id="40" w:name="undefined_Копия_20"/>
            <w:bookmarkEnd w:id="39"/>
            <w:bookmarkEnd w:id="40"/>
            <w:r>
              <w:rPr>
                <w:rFonts w:eastAsia="TimesNewRomanCYR" w:cs="TimesNewRomanCYR" w:ascii="Times New Roman" w:hAnsi="Times New Roman"/>
                <w:sz w:val="18"/>
                <w:szCs w:val="18"/>
              </w:rPr>
              <w:t>д) территорий, прилегающих к рекламным конструкциям, - 5 метров по периметру (радиусу) основания.</w:t>
            </w:r>
          </w:p>
          <w:p>
            <w:pPr>
              <w:pStyle w:val="Normal"/>
              <w:spacing w:lineRule="auto" w:line="240" w:before="0" w:after="0"/>
              <w:ind w:hanging="0" w:left="0" w:right="0"/>
              <w:jc w:val="both"/>
              <w:rPr>
                <w:rFonts w:ascii="Times New Roman" w:hAnsi="Times New Roman"/>
                <w:sz w:val="18"/>
                <w:szCs w:val="18"/>
              </w:rPr>
            </w:pPr>
            <w:bookmarkStart w:id="41" w:name="undefined_Копия_20"/>
            <w:bookmarkStart w:id="42" w:name="undefined_Копия_21"/>
            <w:bookmarkEnd w:id="41"/>
            <w:bookmarkEnd w:id="42"/>
            <w:r>
              <w:rPr>
                <w:rFonts w:eastAsia="TimesNewRomanCYR" w:cs="TimesNewRomanCYR" w:ascii="Times New Roman" w:hAnsi="Times New Roman"/>
                <w:sz w:val="18"/>
                <w:szCs w:val="18"/>
              </w:rPr>
              <w:t>ж) территорий, прилегающих к организованным пляжам, - 25 метров от границы пляжа.</w:t>
            </w:r>
          </w:p>
          <w:p>
            <w:pPr>
              <w:pStyle w:val="Normal"/>
              <w:spacing w:lineRule="auto" w:line="240" w:before="0" w:after="0"/>
              <w:ind w:hanging="0" w:left="0" w:right="0"/>
              <w:jc w:val="both"/>
              <w:rPr>
                <w:rFonts w:ascii="Times New Roman" w:hAnsi="Times New Roman"/>
                <w:sz w:val="18"/>
                <w:szCs w:val="18"/>
              </w:rPr>
            </w:pPr>
            <w:bookmarkStart w:id="43" w:name="undefined_Копия_21"/>
            <w:bookmarkEnd w:id="43"/>
            <w:r>
              <w:rPr>
                <w:rFonts w:eastAsia="TimesNewRomanCYR" w:cs="TimesNewRomanCYR" w:ascii="Times New Roman" w:hAnsi="Times New Roman"/>
                <w:sz w:val="18"/>
                <w:szCs w:val="18"/>
              </w:rPr>
              <w:t>Определенные согласно данному пункту территории могут включать в себя тротуары, зеленые насаждения, другие территории, но ограничиваются дорожным бордюром, полотном дороги общего пользования, линией пересечения с прилегающей территорией другого юридического, физического лица, индивидуального предпринимателя</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Положения настоящего пункта не применяются для многоквартирных домов. Порядок содержания и благоустройства придомовых территорий многоквартирных домов определяется  настоящих Правил.</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 xml:space="preserve">П. 39. </w:t>
            </w:r>
            <w:r>
              <w:rPr>
                <w:rFonts w:eastAsia="TimesNewRomanCYR" w:cs="TimesNewRomanCYR" w:ascii="Times New Roman" w:hAnsi="Times New Roman"/>
                <w:sz w:val="18"/>
                <w:szCs w:val="18"/>
              </w:rPr>
              <w:t>Границы прилегающих территорий определяются в отношении территорий общего пользования, которые прилегают (то есть имеет общую границу) к контуру здания, строения, сооружения, границе земельного участка в случае, если такой земельный участок образован (далее -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максимального расстояния от внутренней до внешней границы прилегающей территории, установленного в соответствии с  настоящих Правил.</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П. 40. Правилами устанавливается максимальное расстояние от внутренней до внешней границы прилегающей территории. Максимальное расстояние от внутренней до внешней границы прилегающей территории может быть установлено дифференцированно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протяженности общей границы, указанной в  настоящих Правил.</w:t>
            </w:r>
          </w:p>
          <w:p>
            <w:pPr>
              <w:pStyle w:val="Normal"/>
              <w:spacing w:lineRule="auto" w:line="240" w:before="0" w:after="0"/>
              <w:ind w:hanging="0" w:left="0" w:right="0"/>
              <w:jc w:val="both"/>
              <w:rPr>
                <w:sz w:val="18"/>
                <w:szCs w:val="18"/>
              </w:rPr>
            </w:pPr>
            <w:r>
              <w:rPr>
                <w:rFonts w:eastAsia="TimesNewRomanCYR" w:cs="TimesNewRomanCYR" w:ascii="Times New Roman" w:hAnsi="Times New Roman"/>
                <w:sz w:val="18"/>
                <w:szCs w:val="18"/>
              </w:rPr>
              <w:t>Пункт 41, п</w:t>
            </w:r>
            <w:r>
              <w:rPr>
                <w:rFonts w:eastAsia="TimesNewRomanCYR" w:cs="TimesNewRomanCYR" w:ascii="Times New Roman" w:hAnsi="Times New Roman"/>
                <w:color w:themeColor="text1" w:val="000000"/>
                <w:sz w:val="18"/>
                <w:szCs w:val="18"/>
              </w:rPr>
              <w:t>п. 4 п. 42 и</w:t>
            </w:r>
            <w:r>
              <w:rPr>
                <w:rFonts w:eastAsia="TimesNewRomanCYR" w:cs="TimesNewRomanCYR" w:ascii="Times New Roman" w:hAnsi="Times New Roman"/>
                <w:sz w:val="18"/>
                <w:szCs w:val="18"/>
              </w:rPr>
              <w:t>сключены</w:t>
            </w:r>
          </w:p>
          <w:p>
            <w:pPr>
              <w:pStyle w:val="Style19"/>
              <w:spacing w:lineRule="auto" w:line="240" w:before="0" w:after="0"/>
              <w:ind w:hanging="0" w:left="0" w:right="0"/>
              <w:jc w:val="both"/>
              <w:rPr>
                <w:sz w:val="18"/>
                <w:szCs w:val="18"/>
              </w:rPr>
            </w:pPr>
            <w:r>
              <w:rPr>
                <w:rFonts w:eastAsia="TimesNewRomanCYR" w:cs="TimesNewRomanCYR" w:ascii="Times New Roman" w:hAnsi="Times New Roman"/>
                <w:i w:val="false"/>
                <w:iCs w:val="false"/>
                <w:color w:themeColor="text1" w:val="000000"/>
                <w:sz w:val="18"/>
                <w:szCs w:val="18"/>
                <w:highlight w:val="white"/>
                <w:shd w:fill="F0F0F0" w:val="clear"/>
              </w:rPr>
              <w:t>Пп. 1 п. 43 изменен.</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Пп. 1 п. 43 на земельных участках, находящихся в собственности, постоянном (бессрочном) и безвозмездном пользовании, аренде физических и юридических лиц, индивидуальных предпринимателей, и прилегающих к ним территориях (за исключением собственников и (или) иных законных владельцев жилых помещений в многоквартирных домах, земельные участки под которыми не образованы или образованы по границам таких домов) - данные физические и юридические лица, индивидуальные предприниматели.</w:t>
            </w:r>
          </w:p>
          <w:p>
            <w:pPr>
              <w:pStyle w:val="Normal"/>
              <w:spacing w:lineRule="auto" w:line="240" w:before="0" w:after="0"/>
              <w:ind w:hanging="0" w:left="0" w:right="0"/>
              <w:jc w:val="both"/>
              <w:rPr/>
            </w:pPr>
            <w:r>
              <w:rPr>
                <w:rFonts w:eastAsia="TimesNewRomanCYR" w:cs="TimesNewRomanCYR" w:ascii="Times New Roman" w:hAnsi="Times New Roman"/>
                <w:i w:val="false"/>
                <w:iCs w:val="false"/>
                <w:color w:themeColor="text1" w:val="000000"/>
                <w:sz w:val="18"/>
                <w:szCs w:val="18"/>
                <w:highlight w:val="white"/>
                <w:shd w:fill="F0F0F0" w:val="clear"/>
              </w:rPr>
              <w:t>Пп. 5) пп. 24) п. 43 изменен - р</w:t>
            </w:r>
            <w:hyperlink r:id="rId7" w:tooltip="http://mobileonline.garant.ru/document/redirect/407604550/17">
              <w:r>
                <w:rPr>
                  <w:rStyle w:val="Style"/>
                  <w:rFonts w:eastAsia="TimesNewRomanCYR" w:cs="TimesNewRomanCYR" w:ascii="Times New Roman" w:hAnsi="Times New Roman"/>
                  <w:b w:val="false"/>
                  <w:i w:val="false"/>
                  <w:iCs w:val="false"/>
                  <w:color w:themeColor="text1" w:val="000000"/>
                  <w:sz w:val="18"/>
                  <w:szCs w:val="18"/>
                  <w:highlight w:val="white"/>
                  <w:shd w:fill="F0F0F0" w:val="clear"/>
                </w:rPr>
                <w:t>ешение</w:t>
              </w:r>
            </w:hyperlink>
            <w:r>
              <w:rPr>
                <w:rFonts w:eastAsia="TimesNewRomanCYR" w:cs="TimesNewRomanCYR" w:ascii="Times New Roman" w:hAnsi="Times New Roman"/>
                <w:i w:val="false"/>
                <w:iCs w:val="false"/>
                <w:color w:themeColor="text1" w:val="000000"/>
                <w:sz w:val="18"/>
                <w:szCs w:val="18"/>
                <w:highlight w:val="white"/>
                <w:shd w:fill="F0F0F0" w:val="clear"/>
              </w:rPr>
              <w:t>м Собрания депутатов Копейского городского округа от 23 августа 2023 г. № 841-МО.</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Пп. 5 пп. 24) п. 43. Выполнение работ по ремонту и содержанию, в том числе в зимний период, объектов благоустройства (дороги, тротуары, пешеходные дорожки, газоны и иные) улично-дорожной сети;</w:t>
            </w:r>
          </w:p>
          <w:p>
            <w:pPr>
              <w:pStyle w:val="Normal"/>
              <w:spacing w:lineRule="auto" w:line="240" w:before="0" w:after="0"/>
              <w:ind w:hanging="0" w:left="0" w:right="0"/>
              <w:jc w:val="both"/>
              <w:rPr>
                <w:sz w:val="18"/>
                <w:szCs w:val="18"/>
              </w:rPr>
            </w:pPr>
            <w:r>
              <w:rPr>
                <w:rFonts w:eastAsia="TimesNewRomanCYR" w:cs="TimesNewRomanCYR" w:ascii="Times New Roman" w:hAnsi="Times New Roman"/>
                <w:sz w:val="18"/>
                <w:szCs w:val="18"/>
              </w:rPr>
              <w:t xml:space="preserve">П. 46 </w:t>
            </w:r>
            <w:r>
              <w:rPr>
                <w:rFonts w:eastAsia="TimesNewRomanCYR" w:cs="TimesNewRomanCYR" w:ascii="Times New Roman" w:hAnsi="Times New Roman"/>
                <w:i w:val="false"/>
                <w:iCs w:val="false"/>
                <w:color w:themeColor="text1" w:val="000000"/>
                <w:sz w:val="18"/>
                <w:szCs w:val="18"/>
                <w:highlight w:val="white"/>
                <w:shd w:fill="F0F0F0" w:val="clear"/>
              </w:rPr>
              <w:t>изменен.</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П. 46 Уборка отходов от сноса (обрезки) зеленых насаждений осуществляется организациями, производящими работы по сносу (обрезке) данных зеленых насаждений.</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Вывоз отходов от сноса (обрезки) зеленых насаждений производится в течение суток с момента начала работ.</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Пни, оставшиеся после сноса зеленых насаждений, удаляются в течение суток с момента начала работ.</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Упавшие деревья удаляются собственником (пользователем) земельного участка либо специализированной организацией немедленно с проезжей части дорог, тротуаров, от токонесущих проводов, фасадов жилых и производственных зданий, а с других территорий - в течение суток с момента обнаружения упавшего дерева или получения информации Единой дежурно-диспетчерской службы Копейского городского округа (далее - ЕДДС).</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Не допускается складирование спила, упавших деревьев на площадках для сбора и временного хранения твердых коммунальных отходов.</w:t>
            </w:r>
          </w:p>
        </w:tc>
      </w:tr>
      <w:tr>
        <w:trPr>
          <w:trHeight w:val="937" w:hRule="atLeast"/>
        </w:trPr>
        <w:tc>
          <w:tcPr>
            <w:tcW w:w="2507" w:type="dxa"/>
            <w:gridSpan w:val="2"/>
            <w:tcBorders>
              <w:left w:val="single" w:sz="4" w:space="0" w:color="000000"/>
              <w:bottom w:val="single" w:sz="4" w:space="0" w:color="000000"/>
              <w:right w:val="single" w:sz="4" w:space="0" w:color="000000"/>
            </w:tcBorders>
          </w:tcPr>
          <w:p>
            <w:pPr>
              <w:pStyle w:val="ConsPlusNormal"/>
              <w:spacing w:before="0" w:after="0"/>
              <w:ind w:firstLine="425" w:left="0" w:right="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ind w:left="0"/>
              <w:rPr>
                <w:rFonts w:ascii="Times New Roman" w:hAnsi="Times New Roman"/>
                <w:sz w:val="18"/>
                <w:szCs w:val="18"/>
              </w:rPr>
            </w:pPr>
            <w:r>
              <w:rPr>
                <w:rFonts w:cs="Times New Roman" w:ascii="Times New Roman" w:hAnsi="Times New Roman"/>
                <w:sz w:val="18"/>
                <w:szCs w:val="18"/>
              </w:rPr>
              <w:t>Раздел 2. Виды работ по благоустройству и их периодичность</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ind w:left="0"/>
              <w:rPr>
                <w:rFonts w:ascii="Times New Roman" w:hAnsi="Times New Roman"/>
                <w:sz w:val="18"/>
                <w:szCs w:val="18"/>
              </w:rPr>
            </w:pPr>
            <w:r>
              <w:rPr>
                <w:rFonts w:cs="Times New Roman" w:ascii="Times New Roman" w:hAnsi="Times New Roman"/>
                <w:sz w:val="18"/>
                <w:szCs w:val="18"/>
              </w:rPr>
              <w:t>7</w:t>
            </w:r>
          </w:p>
        </w:tc>
        <w:tc>
          <w:tcPr>
            <w:tcW w:w="1810" w:type="dxa"/>
            <w:tcBorders>
              <w:top w:val="single" w:sz="4" w:space="0" w:color="000000"/>
              <w:left w:val="single" w:sz="4" w:space="0" w:color="000000"/>
              <w:bottom w:val="single" w:sz="4" w:space="0" w:color="000000"/>
              <w:right w:val="single" w:sz="4" w:space="0" w:color="000000"/>
            </w:tcBorders>
          </w:tcPr>
          <w:p>
            <w:pPr>
              <w:pStyle w:val="Normal"/>
              <w:spacing w:before="0" w:after="0"/>
              <w:ind w:left="0"/>
              <w:rPr>
                <w:rFonts w:ascii="Times New Roman" w:hAnsi="Times New Roman"/>
                <w:sz w:val="18"/>
                <w:szCs w:val="18"/>
              </w:rPr>
            </w:pPr>
            <w:r>
              <w:rPr>
                <w:rFonts w:cs="Times New Roman" w:ascii="Times New Roman" w:hAnsi="Times New Roman"/>
                <w:sz w:val="18"/>
                <w:szCs w:val="18"/>
              </w:rPr>
              <w:t>Виды работ по благоустройству и их периодичность</w:t>
            </w:r>
          </w:p>
        </w:tc>
        <w:tc>
          <w:tcPr>
            <w:tcW w:w="8224" w:type="dxa"/>
            <w:tcBorders>
              <w:top w:val="single" w:sz="4" w:space="0" w:color="000000"/>
              <w:left w:val="single" w:sz="4" w:space="0" w:color="000000"/>
              <w:bottom w:val="single" w:sz="4" w:space="0" w:color="000000"/>
              <w:right w:val="single" w:sz="4" w:space="0" w:color="000000"/>
            </w:tcBorders>
          </w:tcPr>
          <w:p>
            <w:pPr>
              <w:pStyle w:val="Style19"/>
              <w:spacing w:lineRule="auto" w:line="240" w:before="0" w:after="0"/>
              <w:ind w:hanging="0" w:left="0" w:right="0"/>
              <w:jc w:val="both"/>
              <w:rPr>
                <w:rFonts w:ascii="Times New Roman" w:hAnsi="Times New Roman"/>
                <w:sz w:val="18"/>
                <w:szCs w:val="18"/>
                <w:highlight w:val="white"/>
              </w:rPr>
            </w:pPr>
            <w:r>
              <w:rPr>
                <w:rFonts w:ascii="Times New Roman" w:hAnsi="Times New Roman"/>
                <w:sz w:val="18"/>
                <w:szCs w:val="18"/>
                <w:highlight w:val="white"/>
              </w:rPr>
            </w:r>
          </w:p>
        </w:tc>
      </w:tr>
      <w:tr>
        <w:trPr>
          <w:trHeight w:val="836" w:hRule="atLeast"/>
        </w:trPr>
        <w:tc>
          <w:tcPr>
            <w:tcW w:w="2507" w:type="dxa"/>
            <w:gridSpan w:val="2"/>
            <w:tcBorders>
              <w:left w:val="single" w:sz="4" w:space="0" w:color="000000"/>
              <w:bottom w:val="single" w:sz="4" w:space="0" w:color="000000"/>
              <w:right w:val="single" w:sz="4" w:space="0" w:color="000000"/>
            </w:tcBorders>
          </w:tcPr>
          <w:p>
            <w:pPr>
              <w:pStyle w:val="ConsPlusNormal"/>
              <w:spacing w:before="0" w:after="0"/>
              <w:ind w:firstLine="425" w:left="0" w:right="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Раздел 3. Содержание территории общего пользования</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8</w:t>
            </w:r>
          </w:p>
        </w:tc>
        <w:tc>
          <w:tcPr>
            <w:tcW w:w="1810"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t>Подраздел 1. Уборка территории в зимний период</w:t>
            </w:r>
          </w:p>
        </w:tc>
        <w:tc>
          <w:tcPr>
            <w:tcW w:w="8224" w:type="dxa"/>
            <w:tcBorders>
              <w:top w:val="single" w:sz="4" w:space="0" w:color="000000"/>
              <w:left w:val="single" w:sz="4" w:space="0" w:color="000000"/>
              <w:bottom w:val="single" w:sz="4" w:space="0" w:color="000000"/>
              <w:right w:val="single" w:sz="4" w:space="0" w:color="000000"/>
            </w:tcBorders>
          </w:tcPr>
          <w:p>
            <w:pPr>
              <w:pStyle w:val="Style19"/>
              <w:spacing w:lineRule="auto" w:line="240" w:before="0" w:after="0"/>
              <w:ind w:hanging="0" w:left="170" w:right="0"/>
              <w:jc w:val="both"/>
              <w:rPr>
                <w:rFonts w:ascii="Times New Roman" w:hAnsi="Times New Roman"/>
                <w:sz w:val="18"/>
                <w:szCs w:val="18"/>
                <w:highlight w:val="white"/>
              </w:rPr>
            </w:pPr>
            <w:r>
              <w:rPr>
                <w:rFonts w:ascii="Times New Roman" w:hAnsi="Times New Roman"/>
                <w:sz w:val="18"/>
                <w:szCs w:val="18"/>
                <w:highlight w:val="white"/>
              </w:rPr>
            </w:r>
          </w:p>
        </w:tc>
      </w:tr>
      <w:tr>
        <w:trPr>
          <w:trHeight w:val="729" w:hRule="atLeast"/>
        </w:trPr>
        <w:tc>
          <w:tcPr>
            <w:tcW w:w="2507" w:type="dxa"/>
            <w:gridSpan w:val="2"/>
            <w:tcBorders>
              <w:left w:val="single" w:sz="4" w:space="0" w:color="000000"/>
              <w:bottom w:val="single" w:sz="4" w:space="0" w:color="000000"/>
              <w:right w:val="single" w:sz="4" w:space="0" w:color="000000"/>
            </w:tcBorders>
          </w:tcPr>
          <w:p>
            <w:pPr>
              <w:pStyle w:val="ConsPlusNormal"/>
              <w:spacing w:before="0" w:after="0"/>
              <w:ind w:firstLine="425" w:left="0" w:right="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9</w:t>
            </w:r>
          </w:p>
        </w:tc>
        <w:tc>
          <w:tcPr>
            <w:tcW w:w="1810"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t>Подраздел 2. Уборка территории в летний период</w:t>
            </w:r>
          </w:p>
        </w:tc>
        <w:tc>
          <w:tcPr>
            <w:tcW w:w="8224" w:type="dxa"/>
            <w:tcBorders>
              <w:top w:val="single" w:sz="4" w:space="0" w:color="000000"/>
              <w:left w:val="single" w:sz="4" w:space="0" w:color="000000"/>
              <w:bottom w:val="single" w:sz="4" w:space="0" w:color="000000"/>
              <w:right w:val="single" w:sz="4" w:space="0" w:color="000000"/>
            </w:tcBorders>
          </w:tcPr>
          <w:p>
            <w:pPr>
              <w:pStyle w:val="Style19"/>
              <w:spacing w:lineRule="auto" w:line="240" w:before="0" w:after="0"/>
              <w:ind w:hanging="0" w:left="170" w:right="0"/>
              <w:jc w:val="both"/>
              <w:rPr>
                <w:rFonts w:ascii="Times New Roman" w:hAnsi="Times New Roman"/>
                <w:sz w:val="18"/>
                <w:szCs w:val="18"/>
                <w:highlight w:val="white"/>
              </w:rPr>
            </w:pPr>
            <w:r>
              <w:rPr>
                <w:rFonts w:ascii="Times New Roman" w:hAnsi="Times New Roman"/>
                <w:sz w:val="18"/>
                <w:szCs w:val="18"/>
                <w:highlight w:val="white"/>
              </w:rPr>
            </w:r>
          </w:p>
        </w:tc>
      </w:tr>
      <w:tr>
        <w:trPr>
          <w:trHeight w:val="425" w:hRule="atLeast"/>
        </w:trPr>
        <w:tc>
          <w:tcPr>
            <w:tcW w:w="2507" w:type="dxa"/>
            <w:gridSpan w:val="2"/>
            <w:vMerge w:val="restart"/>
            <w:tcBorders>
              <w:left w:val="single" w:sz="4" w:space="0" w:color="000000"/>
              <w:right w:val="single" w:sz="4" w:space="0" w:color="000000"/>
            </w:tcBorders>
          </w:tcPr>
          <w:p>
            <w:pPr>
              <w:pStyle w:val="ConsPlusNormal"/>
              <w:spacing w:before="0" w:after="0"/>
              <w:ind w:firstLine="425" w:left="0" w:right="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Раздел 4. Содержание придомовых территорий многоквартирных домов</w:t>
            </w:r>
          </w:p>
          <w:p>
            <w:pPr>
              <w:pStyle w:val="Normal"/>
              <w:spacing w:before="0" w:after="0"/>
              <w:rPr>
                <w:rFonts w:ascii="Times New Roman" w:hAnsi="Times New Roman"/>
                <w:sz w:val="18"/>
                <w:szCs w:val="18"/>
              </w:rPr>
            </w:pPr>
            <w:r>
              <w:rPr>
                <w:rFonts w:ascii="Times New Roman" w:hAnsi="Times New Roman"/>
                <w:sz w:val="18"/>
                <w:szCs w:val="18"/>
              </w:rPr>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10</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Содержание придомовых территорий многоквартирных домов</w:t>
            </w:r>
          </w:p>
        </w:tc>
        <w:tc>
          <w:tcPr>
            <w:tcW w:w="8224" w:type="dxa"/>
            <w:tcBorders>
              <w:top w:val="single" w:sz="4" w:space="0" w:color="000000"/>
              <w:left w:val="single" w:sz="4" w:space="0" w:color="000000"/>
              <w:bottom w:val="single" w:sz="4" w:space="0" w:color="000000"/>
              <w:right w:val="single" w:sz="4" w:space="0" w:color="000000"/>
            </w:tcBorders>
          </w:tcPr>
          <w:p>
            <w:pPr>
              <w:pStyle w:val="Style19"/>
              <w:spacing w:lineRule="auto" w:line="240" w:before="0" w:after="0"/>
              <w:ind w:hanging="0" w:left="0" w:right="0"/>
              <w:jc w:val="both"/>
              <w:rPr/>
            </w:pPr>
            <w:r>
              <w:rPr>
                <w:rFonts w:eastAsia="TimesNewRomanCYR" w:cs="TimesNewRomanCYR" w:ascii="Times New Roman" w:hAnsi="Times New Roman"/>
                <w:i w:val="false"/>
                <w:iCs w:val="false"/>
                <w:color w:themeColor="text1" w:val="000000"/>
                <w:sz w:val="18"/>
                <w:szCs w:val="18"/>
                <w:highlight w:val="white"/>
                <w:shd w:fill="F0F0F0" w:val="clear"/>
              </w:rPr>
              <w:t>П. 91 изменен р</w:t>
            </w:r>
            <w:hyperlink r:id="rId8" w:tooltip="http://mobileonline.garant.ru/document/redirect/407604550/20">
              <w:r>
                <w:rPr>
                  <w:rStyle w:val="Style"/>
                  <w:rFonts w:eastAsia="TimesNewRomanCYR" w:cs="TimesNewRomanCYR" w:ascii="Times New Roman" w:hAnsi="Times New Roman"/>
                  <w:b w:val="false"/>
                  <w:i w:val="false"/>
                  <w:iCs w:val="false"/>
                  <w:color w:themeColor="text1" w:val="000000"/>
                  <w:sz w:val="18"/>
                  <w:szCs w:val="18"/>
                  <w:highlight w:val="white"/>
                  <w:shd w:fill="F0F0F0" w:val="clear"/>
                </w:rPr>
                <w:t>ешение</w:t>
              </w:r>
            </w:hyperlink>
            <w:r>
              <w:rPr>
                <w:rFonts w:eastAsia="TimesNewRomanCYR" w:cs="TimesNewRomanCYR" w:ascii="Times New Roman" w:hAnsi="Times New Roman"/>
                <w:i w:val="false"/>
                <w:iCs w:val="false"/>
                <w:color w:themeColor="text1" w:val="000000"/>
                <w:sz w:val="18"/>
                <w:szCs w:val="18"/>
                <w:highlight w:val="white"/>
                <w:shd w:fill="F0F0F0" w:val="clear"/>
              </w:rPr>
              <w:t>м С</w:t>
            </w:r>
            <w:r>
              <w:rPr>
                <w:rFonts w:eastAsia="TimesNewRomanCYR" w:cs="TimesNewRomanCYR" w:ascii="Times New Roman" w:hAnsi="Times New Roman"/>
                <w:i w:val="false"/>
                <w:iCs w:val="false"/>
                <w:color w:themeColor="text1" w:val="000000"/>
                <w:sz w:val="18"/>
                <w:szCs w:val="18"/>
                <w:highlight w:val="white"/>
                <w:shd w:fill="F0F0F0" w:val="clear"/>
              </w:rPr>
              <w:t xml:space="preserve">Д </w:t>
            </w:r>
            <w:r>
              <w:rPr>
                <w:rFonts w:eastAsia="TimesNewRomanCYR" w:cs="TimesNewRomanCYR" w:ascii="Times New Roman" w:hAnsi="Times New Roman"/>
                <w:i w:val="false"/>
                <w:iCs w:val="false"/>
                <w:color w:themeColor="text1" w:val="000000"/>
                <w:sz w:val="18"/>
                <w:szCs w:val="18"/>
                <w:highlight w:val="white"/>
                <w:shd w:fill="F0F0F0" w:val="clear"/>
              </w:rPr>
              <w:t>К</w:t>
            </w:r>
            <w:r>
              <w:rPr>
                <w:rFonts w:eastAsia="TimesNewRomanCYR" w:cs="TimesNewRomanCYR" w:ascii="Times New Roman" w:hAnsi="Times New Roman"/>
                <w:i w:val="false"/>
                <w:iCs w:val="false"/>
                <w:color w:themeColor="text1" w:val="000000"/>
                <w:sz w:val="18"/>
                <w:szCs w:val="18"/>
                <w:highlight w:val="white"/>
                <w:shd w:fill="F0F0F0" w:val="clear"/>
              </w:rPr>
              <w:t>Г</w:t>
            </w:r>
            <w:r>
              <w:rPr>
                <w:rFonts w:eastAsia="TimesNewRomanCYR" w:cs="TimesNewRomanCYR" w:ascii="Times New Roman" w:hAnsi="Times New Roman"/>
                <w:i w:val="false"/>
                <w:iCs w:val="false"/>
                <w:color w:themeColor="text1" w:val="000000"/>
                <w:sz w:val="18"/>
                <w:szCs w:val="18"/>
                <w:highlight w:val="white"/>
                <w:shd w:fill="F0F0F0" w:val="clear"/>
              </w:rPr>
              <w:t>О</w:t>
            </w:r>
            <w:r>
              <w:rPr>
                <w:rFonts w:eastAsia="TimesNewRomanCYR" w:cs="TimesNewRomanCYR" w:ascii="Times New Roman" w:hAnsi="Times New Roman"/>
                <w:i w:val="false"/>
                <w:iCs w:val="false"/>
                <w:color w:themeColor="text1" w:val="000000"/>
                <w:sz w:val="18"/>
                <w:szCs w:val="18"/>
                <w:highlight w:val="white"/>
                <w:shd w:fill="F0F0F0" w:val="clear"/>
              </w:rPr>
              <w:t xml:space="preserve"> от 23.</w:t>
            </w:r>
            <w:r>
              <w:rPr>
                <w:rFonts w:eastAsia="TimesNewRomanCYR" w:cs="TimesNewRomanCYR" w:ascii="Times New Roman" w:hAnsi="Times New Roman"/>
                <w:i w:val="false"/>
                <w:iCs w:val="false"/>
                <w:color w:themeColor="text1" w:val="000000"/>
                <w:sz w:val="18"/>
                <w:szCs w:val="18"/>
                <w:highlight w:val="white"/>
                <w:shd w:fill="F0F0F0" w:val="clear"/>
              </w:rPr>
              <w:t>0</w:t>
            </w:r>
            <w:r>
              <w:rPr>
                <w:rFonts w:eastAsia="TimesNewRomanCYR" w:cs="TimesNewRomanCYR" w:ascii="Times New Roman" w:hAnsi="Times New Roman"/>
                <w:i w:val="false"/>
                <w:iCs w:val="false"/>
                <w:color w:themeColor="text1" w:val="000000"/>
                <w:sz w:val="18"/>
                <w:szCs w:val="18"/>
                <w:highlight w:val="white"/>
                <w:shd w:fill="F0F0F0" w:val="clear"/>
              </w:rPr>
              <w:t>8.</w:t>
            </w:r>
            <w:r>
              <w:rPr>
                <w:rFonts w:eastAsia="TimesNewRomanCYR" w:cs="TimesNewRomanCYR" w:ascii="Times New Roman" w:hAnsi="Times New Roman"/>
                <w:i w:val="false"/>
                <w:iCs w:val="false"/>
                <w:color w:themeColor="text1" w:val="000000"/>
                <w:sz w:val="18"/>
                <w:szCs w:val="18"/>
                <w:highlight w:val="white"/>
                <w:shd w:fill="F0F0F0" w:val="clear"/>
              </w:rPr>
              <w:t>2</w:t>
            </w:r>
            <w:r>
              <w:rPr>
                <w:rFonts w:eastAsia="TimesNewRomanCYR" w:cs="TimesNewRomanCYR" w:ascii="Times New Roman" w:hAnsi="Times New Roman"/>
                <w:i w:val="false"/>
                <w:iCs w:val="false"/>
                <w:color w:themeColor="text1" w:val="000000"/>
                <w:sz w:val="18"/>
                <w:szCs w:val="18"/>
                <w:highlight w:val="white"/>
                <w:shd w:fill="F0F0F0" w:val="clear"/>
              </w:rPr>
              <w:t>0</w:t>
            </w:r>
            <w:r>
              <w:rPr>
                <w:rFonts w:eastAsia="TimesNewRomanCYR" w:cs="TimesNewRomanCYR" w:ascii="Times New Roman" w:hAnsi="Times New Roman"/>
                <w:i w:val="false"/>
                <w:iCs w:val="false"/>
                <w:color w:themeColor="text1" w:val="000000"/>
                <w:sz w:val="18"/>
                <w:szCs w:val="18"/>
                <w:highlight w:val="white"/>
                <w:shd w:fill="F0F0F0" w:val="clear"/>
              </w:rPr>
              <w:t>2</w:t>
            </w:r>
            <w:r>
              <w:rPr>
                <w:rFonts w:eastAsia="TimesNewRomanCYR" w:cs="TimesNewRomanCYR" w:ascii="Times New Roman" w:hAnsi="Times New Roman"/>
                <w:i w:val="false"/>
                <w:iCs w:val="false"/>
                <w:color w:themeColor="text1" w:val="000000"/>
                <w:sz w:val="18"/>
                <w:szCs w:val="18"/>
                <w:highlight w:val="white"/>
                <w:shd w:fill="F0F0F0" w:val="clear"/>
              </w:rPr>
              <w:t>3</w:t>
            </w:r>
            <w:r>
              <w:rPr>
                <w:rFonts w:eastAsia="TimesNewRomanCYR" w:cs="TimesNewRomanCYR" w:ascii="Times New Roman" w:hAnsi="Times New Roman"/>
                <w:i w:val="false"/>
                <w:iCs w:val="false"/>
                <w:color w:themeColor="text1" w:val="000000"/>
                <w:sz w:val="18"/>
                <w:szCs w:val="18"/>
                <w:highlight w:val="white"/>
                <w:shd w:fill="F0F0F0" w:val="clear"/>
              </w:rPr>
              <w:t xml:space="preserve"> № 841-МО.</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п. 91. Собственники помещений в многоквартирных домах или лица, осуществляющие по договору управление/эксплуатацию многоквартирными домами, осуществляют содержание придомовых территорий в следующих границах:</w:t>
            </w:r>
          </w:p>
          <w:p>
            <w:pPr>
              <w:pStyle w:val="Normal"/>
              <w:spacing w:lineRule="auto" w:line="240" w:before="0" w:after="0"/>
              <w:ind w:hanging="0" w:left="0" w:right="0"/>
              <w:jc w:val="both"/>
              <w:rPr>
                <w:rFonts w:ascii="Times New Roman" w:hAnsi="Times New Roman"/>
                <w:sz w:val="18"/>
                <w:szCs w:val="18"/>
              </w:rPr>
            </w:pPr>
            <w:r>
              <w:rPr>
                <w:rFonts w:eastAsia="TimesNewRomanCYR" w:cs="TimesNewRomanCYR" w:ascii="Times New Roman" w:hAnsi="Times New Roman"/>
                <w:sz w:val="18"/>
                <w:szCs w:val="18"/>
              </w:rPr>
              <w:t>1) если земельный участок придомовой территории сформирован и поставлен на государственный кадастровый учет - в пределах данных границ;</w:t>
            </w:r>
          </w:p>
          <w:p>
            <w:pPr>
              <w:pStyle w:val="Normal"/>
              <w:spacing w:lineRule="auto" w:line="240" w:before="0" w:after="0"/>
              <w:ind w:hanging="0" w:left="0" w:right="0"/>
              <w:jc w:val="both"/>
              <w:rPr/>
            </w:pPr>
            <w:r>
              <w:rPr>
                <w:rFonts w:eastAsia="TimesNewRomanCYR" w:cs="TimesNewRomanCYR" w:ascii="Times New Roman" w:hAnsi="Times New Roman"/>
                <w:sz w:val="18"/>
                <w:szCs w:val="18"/>
              </w:rPr>
              <w:t xml:space="preserve">2) если земельный участок сформирован и поставлен на государственный кадастровый учет по отмостке многоквартирного дома либо не сформирован и не поставлен на государственный кадастровый учет - в пределах границы придомовой территории, установленной в соответствии с разработанной и утвержденной органом местного самоуправления картой-схемой, сформированной с учетом придомовой территории, а в случае ее отсутствия в соответствии с </w:t>
            </w:r>
            <w:hyperlink r:id="rId9" w:tooltip="http://mobileonline.garant.ru/document/redirect/2321493/100000">
              <w:r>
                <w:rPr>
                  <w:rStyle w:val="Style"/>
                  <w:rFonts w:eastAsia="TimesNewRomanCYR" w:cs="TimesNewRomanCYR" w:ascii="Times New Roman" w:hAnsi="Times New Roman"/>
                  <w:b w:val="false"/>
                  <w:color w:themeColor="text1" w:val="000000"/>
                  <w:sz w:val="18"/>
                  <w:szCs w:val="18"/>
                </w:rPr>
                <w:t>методическими рекомендациями</w:t>
              </w:r>
            </w:hyperlink>
            <w:r>
              <w:rPr>
                <w:rFonts w:eastAsia="TimesNewRomanCYR" w:cs="TimesNewRomanCYR" w:ascii="Times New Roman" w:hAnsi="Times New Roman"/>
                <w:sz w:val="18"/>
                <w:szCs w:val="18"/>
              </w:rPr>
              <w:t xml:space="preserve"> Приказа Госстроя РФ от 28.12.2000 № 303.</w:t>
            </w:r>
          </w:p>
        </w:tc>
      </w:tr>
      <w:tr>
        <w:trPr>
          <w:trHeight w:val="1005" w:hRule="atLeast"/>
        </w:trPr>
        <w:tc>
          <w:tcPr>
            <w:tcW w:w="2507" w:type="dxa"/>
            <w:gridSpan w:val="2"/>
            <w:vMerge w:val="continue"/>
            <w:tcBorders>
              <w:left w:val="single" w:sz="4" w:space="0" w:color="000000"/>
              <w:bottom w:val="single" w:sz="4" w:space="0" w:color="000000"/>
              <w:right w:val="single" w:sz="4" w:space="0" w:color="000000"/>
            </w:tcBorders>
          </w:tcPr>
          <w:p>
            <w:pPr>
              <w:pStyle w:val="ConsPlusNormal"/>
              <w:spacing w:before="0" w:after="0"/>
              <w:ind w:firstLine="425" w:left="0" w:right="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Раздел 5. Содержание территории индивидуальной жилой застройки</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11</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Содержание территории индивидуальной жилой застройки</w:t>
            </w:r>
          </w:p>
        </w:tc>
        <w:tc>
          <w:tcPr>
            <w:tcW w:w="8224" w:type="dxa"/>
            <w:tcBorders>
              <w:top w:val="single" w:sz="4" w:space="0" w:color="000000"/>
              <w:left w:val="single" w:sz="4" w:space="0" w:color="000000"/>
              <w:bottom w:val="single" w:sz="4" w:space="0" w:color="000000"/>
              <w:right w:val="single" w:sz="4" w:space="0" w:color="000000"/>
            </w:tcBorders>
          </w:tcPr>
          <w:p>
            <w:pPr>
              <w:pStyle w:val="Style19"/>
              <w:spacing w:lineRule="auto" w:line="240" w:before="0" w:after="0"/>
              <w:ind w:hanging="0" w:left="170" w:right="0"/>
              <w:jc w:val="both"/>
              <w:rPr>
                <w:rFonts w:ascii="Times New Roman" w:hAnsi="Times New Roman"/>
                <w:sz w:val="18"/>
                <w:szCs w:val="18"/>
                <w:highlight w:val="white"/>
              </w:rPr>
            </w:pPr>
            <w:r>
              <w:rPr>
                <w:rFonts w:ascii="Times New Roman" w:hAnsi="Times New Roman"/>
                <w:sz w:val="18"/>
                <w:szCs w:val="18"/>
                <w:highlight w:val="white"/>
              </w:rPr>
            </w:r>
          </w:p>
        </w:tc>
      </w:tr>
      <w:tr>
        <w:trPr>
          <w:trHeight w:val="5102" w:hRule="atLeast"/>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t>Раздел 6. Основные требования к обращению с отходами</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12</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Основные требования к обращению с отходами</w:t>
            </w:r>
          </w:p>
        </w:tc>
        <w:tc>
          <w:tcPr>
            <w:tcW w:w="8224" w:type="dxa"/>
            <w:tcBorders>
              <w:top w:val="single" w:sz="4" w:space="0" w:color="000000"/>
              <w:left w:val="single" w:sz="4" w:space="0" w:color="000000"/>
              <w:bottom w:val="single" w:sz="4" w:space="0" w:color="000000"/>
              <w:right w:val="single" w:sz="4" w:space="0" w:color="000000"/>
            </w:tcBorders>
          </w:tcPr>
          <w:p>
            <w:pPr>
              <w:pStyle w:val="Style19"/>
              <w:spacing w:lineRule="auto" w:line="240" w:before="0" w:after="0"/>
              <w:ind w:hanging="0" w:left="0" w:right="0"/>
              <w:jc w:val="both"/>
              <w:rPr/>
            </w:pPr>
            <w:r>
              <w:rPr>
                <w:rFonts w:eastAsia="TimesNewRomanCYR" w:cs="TimesNewRomanCYR" w:ascii="Times New Roman" w:hAnsi="Times New Roman"/>
                <w:i w:val="false"/>
                <w:iCs w:val="false"/>
                <w:color w:val="000000"/>
                <w:sz w:val="18"/>
                <w:szCs w:val="18"/>
                <w:highlight w:val="white"/>
                <w:shd w:fill="F0F0F0" w:val="clear"/>
              </w:rPr>
              <w:t xml:space="preserve">П. 98, 99, 100, 101, 103, 103, 104, 105, 106, 107, 108, 109, 110 изменены, </w:t>
            </w:r>
            <w:r>
              <w:rPr>
                <w:rFonts w:eastAsia="TimesNewRomanCYR" w:cs="TimesNewRomanCYR" w:ascii="Times New Roman" w:hAnsi="Times New Roman"/>
                <w:i w:val="false"/>
                <w:iCs w:val="false"/>
                <w:color w:val="000000"/>
                <w:sz w:val="18"/>
                <w:szCs w:val="18"/>
                <w:highlight w:val="white"/>
                <w:shd w:fill="F0F0F0" w:val="clear"/>
              </w:rPr>
              <w:t>в</w:t>
            </w:r>
            <w:r>
              <w:rPr>
                <w:rFonts w:eastAsia="TimesNewRomanCYR" w:cs="TimesNewRomanCYR" w:ascii="Times New Roman" w:hAnsi="Times New Roman"/>
                <w:i w:val="false"/>
                <w:iCs w:val="false"/>
                <w:color w:val="000000"/>
                <w:sz w:val="18"/>
                <w:szCs w:val="18"/>
                <w:highlight w:val="white"/>
                <w:shd w:fill="F0F0F0" w:val="clear"/>
              </w:rPr>
              <w:t>н</w:t>
            </w:r>
            <w:r>
              <w:rPr>
                <w:rFonts w:eastAsia="TimesNewRomanCYR" w:cs="TimesNewRomanCYR" w:ascii="Times New Roman" w:hAnsi="Times New Roman"/>
                <w:i w:val="false"/>
                <w:iCs w:val="false"/>
                <w:color w:val="000000"/>
                <w:sz w:val="18"/>
                <w:szCs w:val="18"/>
                <w:highlight w:val="white"/>
                <w:shd w:fill="F0F0F0" w:val="clear"/>
              </w:rPr>
              <w:t>е</w:t>
            </w:r>
            <w:r>
              <w:rPr>
                <w:rFonts w:eastAsia="TimesNewRomanCYR" w:cs="TimesNewRomanCYR" w:ascii="Times New Roman" w:hAnsi="Times New Roman"/>
                <w:i w:val="false"/>
                <w:iCs w:val="false"/>
                <w:color w:val="000000"/>
                <w:sz w:val="18"/>
                <w:szCs w:val="18"/>
                <w:highlight w:val="white"/>
                <w:shd w:fill="F0F0F0" w:val="clear"/>
              </w:rPr>
              <w:t>с</w:t>
            </w:r>
            <w:r>
              <w:rPr>
                <w:rFonts w:eastAsia="TimesNewRomanCYR" w:cs="TimesNewRomanCYR" w:ascii="Times New Roman" w:hAnsi="Times New Roman"/>
                <w:i w:val="false"/>
                <w:iCs w:val="false"/>
                <w:color w:val="000000"/>
                <w:sz w:val="18"/>
                <w:szCs w:val="18"/>
                <w:highlight w:val="white"/>
                <w:shd w:fill="F0F0F0" w:val="clear"/>
              </w:rPr>
              <w:t>е</w:t>
            </w:r>
            <w:r>
              <w:rPr>
                <w:rFonts w:eastAsia="TimesNewRomanCYR" w:cs="TimesNewRomanCYR" w:ascii="Times New Roman" w:hAnsi="Times New Roman"/>
                <w:i w:val="false"/>
                <w:iCs w:val="false"/>
                <w:color w:val="000000"/>
                <w:sz w:val="18"/>
                <w:szCs w:val="18"/>
                <w:highlight w:val="white"/>
                <w:shd w:fill="F0F0F0" w:val="clear"/>
              </w:rPr>
              <w:t>н</w:t>
            </w:r>
            <w:r>
              <w:rPr>
                <w:rFonts w:eastAsia="TimesNewRomanCYR" w:cs="TimesNewRomanCYR" w:ascii="Times New Roman" w:hAnsi="Times New Roman"/>
                <w:i w:val="false"/>
                <w:iCs w:val="false"/>
                <w:color w:val="000000"/>
                <w:sz w:val="18"/>
                <w:szCs w:val="18"/>
                <w:highlight w:val="white"/>
                <w:shd w:fill="F0F0F0" w:val="clear"/>
              </w:rPr>
              <w:t xml:space="preserve">ы </w:t>
            </w:r>
            <w:r>
              <w:rPr>
                <w:rFonts w:eastAsia="TimesNewRomanCYR" w:cs="TimesNewRomanCYR" w:ascii="Times New Roman" w:hAnsi="Times New Roman"/>
                <w:i w:val="false"/>
                <w:iCs w:val="false"/>
                <w:color w:val="000000"/>
                <w:sz w:val="18"/>
                <w:szCs w:val="18"/>
                <w:highlight w:val="white"/>
                <w:shd w:fill="F0F0F0" w:val="clear"/>
              </w:rPr>
              <w:t>д</w:t>
            </w:r>
            <w:r>
              <w:rPr>
                <w:rFonts w:eastAsia="TimesNewRomanCYR" w:cs="TimesNewRomanCYR" w:ascii="Times New Roman" w:hAnsi="Times New Roman"/>
                <w:i w:val="false"/>
                <w:iCs w:val="false"/>
                <w:color w:val="000000"/>
                <w:sz w:val="18"/>
                <w:szCs w:val="18"/>
                <w:highlight w:val="white"/>
                <w:shd w:fill="F0F0F0" w:val="clear"/>
              </w:rPr>
              <w:t>о</w:t>
            </w:r>
            <w:r>
              <w:rPr>
                <w:rFonts w:eastAsia="TimesNewRomanCYR" w:cs="TimesNewRomanCYR" w:ascii="Times New Roman" w:hAnsi="Times New Roman"/>
                <w:i w:val="false"/>
                <w:iCs w:val="false"/>
                <w:color w:val="000000"/>
                <w:sz w:val="18"/>
                <w:szCs w:val="18"/>
                <w:highlight w:val="white"/>
                <w:shd w:fill="F0F0F0" w:val="clear"/>
              </w:rPr>
              <w:t>п</w:t>
            </w:r>
            <w:r>
              <w:rPr>
                <w:rFonts w:eastAsia="TimesNewRomanCYR" w:cs="TimesNewRomanCYR" w:ascii="Times New Roman" w:hAnsi="Times New Roman"/>
                <w:i w:val="false"/>
                <w:iCs w:val="false"/>
                <w:color w:val="000000"/>
                <w:sz w:val="18"/>
                <w:szCs w:val="18"/>
                <w:highlight w:val="white"/>
                <w:shd w:fill="F0F0F0" w:val="clear"/>
              </w:rPr>
              <w:t>о</w:t>
            </w:r>
            <w:r>
              <w:rPr>
                <w:rFonts w:eastAsia="TimesNewRomanCYR" w:cs="TimesNewRomanCYR" w:ascii="Times New Roman" w:hAnsi="Times New Roman"/>
                <w:i w:val="false"/>
                <w:iCs w:val="false"/>
                <w:color w:val="000000"/>
                <w:sz w:val="18"/>
                <w:szCs w:val="18"/>
                <w:highlight w:val="white"/>
                <w:shd w:fill="F0F0F0" w:val="clear"/>
              </w:rPr>
              <w:t>л</w:t>
            </w:r>
            <w:r>
              <w:rPr>
                <w:rFonts w:eastAsia="TimesNewRomanCYR" w:cs="TimesNewRomanCYR" w:ascii="Times New Roman" w:hAnsi="Times New Roman"/>
                <w:i w:val="false"/>
                <w:iCs w:val="false"/>
                <w:color w:val="000000"/>
                <w:sz w:val="18"/>
                <w:szCs w:val="18"/>
                <w:highlight w:val="white"/>
                <w:shd w:fill="F0F0F0" w:val="clear"/>
              </w:rPr>
              <w:t>н</w:t>
            </w:r>
            <w:r>
              <w:rPr>
                <w:rFonts w:eastAsia="TimesNewRomanCYR" w:cs="TimesNewRomanCYR" w:ascii="Times New Roman" w:hAnsi="Times New Roman"/>
                <w:i w:val="false"/>
                <w:iCs w:val="false"/>
                <w:color w:val="000000"/>
                <w:sz w:val="18"/>
                <w:szCs w:val="18"/>
                <w:highlight w:val="white"/>
                <w:shd w:fill="F0F0F0" w:val="clear"/>
              </w:rPr>
              <w:t>е</w:t>
            </w:r>
            <w:r>
              <w:rPr>
                <w:rFonts w:eastAsia="TimesNewRomanCYR" w:cs="TimesNewRomanCYR" w:ascii="Times New Roman" w:hAnsi="Times New Roman"/>
                <w:i w:val="false"/>
                <w:iCs w:val="false"/>
                <w:color w:val="000000"/>
                <w:sz w:val="18"/>
                <w:szCs w:val="18"/>
                <w:highlight w:val="white"/>
                <w:shd w:fill="F0F0F0" w:val="clear"/>
              </w:rPr>
              <w:t>н</w:t>
            </w:r>
            <w:r>
              <w:rPr>
                <w:rFonts w:eastAsia="TimesNewRomanCYR" w:cs="TimesNewRomanCYR" w:ascii="Times New Roman" w:hAnsi="Times New Roman"/>
                <w:i w:val="false"/>
                <w:iCs w:val="false"/>
                <w:color w:val="000000"/>
                <w:sz w:val="18"/>
                <w:szCs w:val="18"/>
                <w:highlight w:val="white"/>
                <w:shd w:fill="F0F0F0" w:val="clear"/>
              </w:rPr>
              <w:t>и</w:t>
            </w:r>
            <w:r>
              <w:rPr>
                <w:rFonts w:eastAsia="TimesNewRomanCYR" w:cs="TimesNewRomanCYR" w:ascii="Times New Roman" w:hAnsi="Times New Roman"/>
                <w:i w:val="false"/>
                <w:iCs w:val="false"/>
                <w:color w:val="000000"/>
                <w:sz w:val="18"/>
                <w:szCs w:val="18"/>
                <w:highlight w:val="white"/>
                <w:shd w:fill="F0F0F0" w:val="clear"/>
              </w:rPr>
              <w:t xml:space="preserve">я </w:t>
            </w:r>
            <w:r>
              <w:rPr>
                <w:rFonts w:eastAsia="TimesNewRomanCYR" w:cs="TimesNewRomanCYR" w:ascii="Times New Roman" w:hAnsi="Times New Roman"/>
                <w:i w:val="false"/>
                <w:iCs w:val="false"/>
                <w:color w:val="000000"/>
                <w:sz w:val="18"/>
                <w:szCs w:val="18"/>
                <w:highlight w:val="white"/>
                <w:shd w:fill="F0F0F0" w:val="clear"/>
              </w:rPr>
              <w:t xml:space="preserve">в </w:t>
            </w:r>
            <w:r>
              <w:rPr>
                <w:rFonts w:eastAsia="TimesNewRomanCYR" w:cs="TimesNewRomanCYR" w:ascii="Times New Roman" w:hAnsi="Times New Roman"/>
                <w:i w:val="false"/>
                <w:iCs w:val="false"/>
                <w:color w:val="000000"/>
                <w:sz w:val="18"/>
                <w:szCs w:val="18"/>
                <w:highlight w:val="white"/>
                <w:shd w:fill="F0F0F0" w:val="clear"/>
              </w:rPr>
              <w:t>Г</w:t>
            </w:r>
            <w:r>
              <w:rPr>
                <w:rFonts w:eastAsia="TimesNewRomanCYR" w:cs="TimesNewRomanCYR" w:ascii="Times New Roman" w:hAnsi="Times New Roman"/>
                <w:i w:val="false"/>
                <w:iCs w:val="false"/>
                <w:color w:val="000000"/>
                <w:sz w:val="18"/>
                <w:szCs w:val="18"/>
                <w:highlight w:val="white"/>
                <w:shd w:fill="F0F0F0" w:val="clear"/>
              </w:rPr>
              <w:t>л</w:t>
            </w:r>
            <w:r>
              <w:rPr>
                <w:rFonts w:eastAsia="TimesNewRomanCYR" w:cs="TimesNewRomanCYR" w:ascii="Times New Roman" w:hAnsi="Times New Roman"/>
                <w:i w:val="false"/>
                <w:iCs w:val="false"/>
                <w:color w:val="000000"/>
                <w:sz w:val="18"/>
                <w:szCs w:val="18"/>
                <w:highlight w:val="white"/>
                <w:shd w:fill="F0F0F0" w:val="clear"/>
              </w:rPr>
              <w:t>а</w:t>
            </w:r>
            <w:r>
              <w:rPr>
                <w:rFonts w:eastAsia="TimesNewRomanCYR" w:cs="TimesNewRomanCYR" w:ascii="Times New Roman" w:hAnsi="Times New Roman"/>
                <w:i w:val="false"/>
                <w:iCs w:val="false"/>
                <w:color w:val="000000"/>
                <w:sz w:val="18"/>
                <w:szCs w:val="18"/>
                <w:highlight w:val="white"/>
                <w:shd w:fill="F0F0F0" w:val="clear"/>
              </w:rPr>
              <w:t>в</w:t>
            </w:r>
            <w:r>
              <w:rPr>
                <w:rFonts w:eastAsia="TimesNewRomanCYR" w:cs="TimesNewRomanCYR" w:ascii="Times New Roman" w:hAnsi="Times New Roman"/>
                <w:i w:val="false"/>
                <w:iCs w:val="false"/>
                <w:color w:val="000000"/>
                <w:sz w:val="18"/>
                <w:szCs w:val="18"/>
                <w:highlight w:val="white"/>
                <w:shd w:fill="F0F0F0" w:val="clear"/>
              </w:rPr>
              <w:t xml:space="preserve">у </w:t>
            </w:r>
            <w:r>
              <w:rPr>
                <w:rFonts w:eastAsia="TimesNewRomanCYR" w:cs="TimesNewRomanCYR" w:ascii="Times New Roman" w:hAnsi="Times New Roman"/>
                <w:i w:val="false"/>
                <w:iCs w:val="false"/>
                <w:color w:val="000000"/>
                <w:sz w:val="18"/>
                <w:szCs w:val="18"/>
                <w:highlight w:val="white"/>
                <w:shd w:fill="F0F0F0" w:val="clear"/>
              </w:rPr>
              <w:t>I</w:t>
            </w:r>
            <w:r>
              <w:rPr>
                <w:rFonts w:eastAsia="TimesNewRomanCYR" w:cs="TimesNewRomanCYR" w:ascii="Times New Roman" w:hAnsi="Times New Roman"/>
                <w:i w:val="false"/>
                <w:iCs w:val="false"/>
                <w:color w:val="000000"/>
                <w:sz w:val="18"/>
                <w:szCs w:val="18"/>
                <w:highlight w:val="white"/>
                <w:shd w:fill="F0F0F0" w:val="clear"/>
              </w:rPr>
              <w:t xml:space="preserve">V </w:t>
            </w:r>
            <w:r>
              <w:rPr>
                <w:rFonts w:eastAsia="TimesNewRomanCYR" w:cs="TimesNewRomanCYR" w:ascii="Times New Roman" w:hAnsi="Times New Roman"/>
                <w:i w:val="false"/>
                <w:iCs w:val="false"/>
                <w:color w:themeColor="text1" w:val="000000"/>
                <w:sz w:val="18"/>
                <w:szCs w:val="18"/>
                <w:highlight w:val="white"/>
                <w:shd w:fill="F0F0F0" w:val="clear"/>
              </w:rPr>
              <w:t>р</w:t>
            </w:r>
            <w:hyperlink r:id="rId10" w:tooltip="http://mobileonline.garant.ru/document/redirect/407604550/20">
              <w:r>
                <w:rPr>
                  <w:rStyle w:val="Style"/>
                  <w:rFonts w:eastAsia="TimesNewRomanCYR" w:cs="TimesNewRomanCYR" w:ascii="Times New Roman" w:hAnsi="Times New Roman"/>
                  <w:b w:val="false"/>
                  <w:i w:val="false"/>
                  <w:iCs w:val="false"/>
                  <w:color w:themeColor="text1" w:val="000000"/>
                  <w:sz w:val="18"/>
                  <w:szCs w:val="18"/>
                  <w:highlight w:val="white"/>
                  <w:shd w:fill="F0F0F0" w:val="clear"/>
                </w:rPr>
                <w:t>ешение</w:t>
              </w:r>
            </w:hyperlink>
            <w:r>
              <w:rPr>
                <w:rFonts w:eastAsia="TimesNewRomanCYR" w:cs="TimesNewRomanCYR" w:ascii="Times New Roman" w:hAnsi="Times New Roman"/>
                <w:i w:val="false"/>
                <w:iCs w:val="false"/>
                <w:color w:themeColor="text1" w:val="000000"/>
                <w:sz w:val="18"/>
                <w:szCs w:val="18"/>
                <w:highlight w:val="white"/>
                <w:shd w:fill="F0F0F0" w:val="clear"/>
              </w:rPr>
              <w:t>м С</w:t>
            </w:r>
            <w:r>
              <w:rPr>
                <w:rFonts w:eastAsia="TimesNewRomanCYR" w:cs="TimesNewRomanCYR" w:ascii="Times New Roman" w:hAnsi="Times New Roman"/>
                <w:i w:val="false"/>
                <w:iCs w:val="false"/>
                <w:color w:themeColor="text1" w:val="000000"/>
                <w:sz w:val="18"/>
                <w:szCs w:val="18"/>
                <w:highlight w:val="white"/>
                <w:shd w:fill="F0F0F0" w:val="clear"/>
              </w:rPr>
              <w:t>Д КГО</w:t>
            </w:r>
            <w:r>
              <w:rPr>
                <w:rFonts w:eastAsia="TimesNewRomanCYR" w:cs="TimesNewRomanCYR" w:ascii="Times New Roman" w:hAnsi="Times New Roman"/>
                <w:i w:val="false"/>
                <w:iCs w:val="false"/>
                <w:color w:themeColor="text1" w:val="000000"/>
                <w:sz w:val="18"/>
                <w:szCs w:val="18"/>
                <w:highlight w:val="white"/>
                <w:shd w:fill="F0F0F0" w:val="clear"/>
              </w:rPr>
              <w:t xml:space="preserve"> от 23.</w:t>
            </w:r>
            <w:r>
              <w:rPr>
                <w:rFonts w:eastAsia="TimesNewRomanCYR" w:cs="TimesNewRomanCYR" w:ascii="Times New Roman" w:hAnsi="Times New Roman"/>
                <w:i w:val="false"/>
                <w:iCs w:val="false"/>
                <w:color w:themeColor="text1" w:val="000000"/>
                <w:sz w:val="18"/>
                <w:szCs w:val="18"/>
                <w:highlight w:val="white"/>
                <w:shd w:fill="F0F0F0" w:val="clear"/>
              </w:rPr>
              <w:t>08.2023</w:t>
            </w:r>
            <w:r>
              <w:rPr>
                <w:rFonts w:eastAsia="TimesNewRomanCYR" w:cs="TimesNewRomanCYR" w:ascii="Times New Roman" w:hAnsi="Times New Roman"/>
                <w:i w:val="false"/>
                <w:iCs w:val="false"/>
                <w:color w:themeColor="text1" w:val="000000"/>
                <w:sz w:val="18"/>
                <w:szCs w:val="18"/>
                <w:highlight w:val="white"/>
                <w:shd w:fill="F0F0F0" w:val="clear"/>
              </w:rPr>
              <w:t xml:space="preserve"> № 841-МО.</w:t>
            </w:r>
          </w:p>
          <w:p>
            <w:pPr>
              <w:pStyle w:val="Style19"/>
              <w:spacing w:lineRule="auto" w:line="240" w:before="0" w:after="0"/>
              <w:ind w:hanging="0" w:left="0" w:right="0"/>
              <w:jc w:val="both"/>
              <w:rPr/>
            </w:pPr>
            <w:r>
              <w:rPr>
                <w:rFonts w:eastAsia="TimesNewRomanCYR" w:cs="TimesNewRomanCYR" w:ascii="Times New Roman" w:hAnsi="Times New Roman"/>
                <w:i w:val="false"/>
                <w:iCs w:val="false"/>
                <w:color w:val="000000"/>
                <w:sz w:val="18"/>
                <w:szCs w:val="18"/>
                <w:shd w:fill="F0F0F0" w:val="clear"/>
              </w:rPr>
              <w:t xml:space="preserve">П. </w:t>
            </w:r>
            <w:r>
              <w:rPr>
                <w:rFonts w:eastAsia="TimesNewRomanCYR" w:cs="TimesNewRomanCYR" w:ascii="Times New Roman" w:hAnsi="Times New Roman"/>
                <w:i w:val="false"/>
                <w:iCs w:val="false"/>
                <w:color w:val="auto"/>
                <w:sz w:val="18"/>
                <w:szCs w:val="18"/>
              </w:rPr>
              <w:t xml:space="preserve">98. 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ТКО на территории городского округа осуществляется в соответствии с </w:t>
            </w:r>
            <w:hyperlink r:id="rId11" w:tooltip="http://mobileonline.garant.ru/document/redirect/12112084/501">
              <w:r>
                <w:rPr>
                  <w:rStyle w:val="Style"/>
                  <w:rFonts w:eastAsia="TimesNewRomanCYR" w:cs="TimesNewRomanCYR" w:ascii="Times New Roman" w:hAnsi="Times New Roman"/>
                  <w:b w:val="false"/>
                  <w:i w:val="false"/>
                  <w:iCs w:val="false"/>
                  <w:color w:val="auto"/>
                  <w:sz w:val="18"/>
                  <w:szCs w:val="18"/>
                </w:rPr>
                <w:t>Федеральным законом</w:t>
              </w:r>
            </w:hyperlink>
            <w:r>
              <w:rPr>
                <w:rFonts w:eastAsia="TimesNewRomanCYR" w:cs="TimesNewRomanCYR" w:ascii="Times New Roman" w:hAnsi="Times New Roman"/>
                <w:i w:val="false"/>
                <w:iCs w:val="false"/>
                <w:color w:val="auto"/>
                <w:sz w:val="18"/>
                <w:szCs w:val="18"/>
              </w:rPr>
              <w:t xml:space="preserve"> "Об отходах производства и потребления".</w:t>
            </w:r>
          </w:p>
          <w:p>
            <w:pPr>
              <w:pStyle w:val="Normal"/>
              <w:spacing w:lineRule="auto" w:line="240" w:before="0" w:after="0"/>
              <w:ind w:hanging="0"/>
              <w:jc w:val="both"/>
              <w:rPr/>
            </w:pPr>
            <w:r>
              <w:rPr>
                <w:rFonts w:eastAsia="TimesNewRomanCYR" w:cs="TimesNewRomanCYR" w:ascii="Times New Roman" w:hAnsi="Times New Roman"/>
                <w:sz w:val="18"/>
                <w:szCs w:val="18"/>
              </w:rPr>
              <w:t xml:space="preserve">Накопление, сбор, транспортирование, обработка, утилизация, обезвреживание, захоронение ТКО осуществляются в соответствии с </w:t>
            </w:r>
            <w:hyperlink r:id="rId12" w:tooltip="http://mobileonline.garant.ru/document/redirect/71540160/1000">
              <w:r>
                <w:rPr>
                  <w:rStyle w:val="Style"/>
                  <w:rFonts w:eastAsia="TimesNewRomanCYR" w:cs="TimesNewRomanCYR" w:ascii="Times New Roman" w:hAnsi="Times New Roman"/>
                  <w:b w:val="false"/>
                  <w:color w:val="auto"/>
                  <w:sz w:val="18"/>
                  <w:szCs w:val="18"/>
                </w:rPr>
                <w:t>правилами</w:t>
              </w:r>
            </w:hyperlink>
            <w:r>
              <w:rPr>
                <w:rFonts w:eastAsia="TimesNewRomanCYR" w:cs="TimesNewRomanCYR" w:ascii="Times New Roman" w:hAnsi="Times New Roman"/>
                <w:color w:val="auto"/>
                <w:sz w:val="18"/>
                <w:szCs w:val="18"/>
              </w:rPr>
              <w:t xml:space="preserve"> </w:t>
            </w:r>
            <w:r>
              <w:rPr>
                <w:rFonts w:eastAsia="TimesNewRomanCYR" w:cs="TimesNewRomanCYR" w:ascii="Times New Roman" w:hAnsi="Times New Roman"/>
                <w:sz w:val="18"/>
                <w:szCs w:val="18"/>
              </w:rPr>
              <w:t>обращения с ТКО, утвержденными Правительством Российской Федерации.</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Накопление отходов путем их раздельного складирования по видам отходов, группам отходов, группам однородных отходов (раздельное накопление) осуществляется в порядке, утвержденном органом государственной власти Челябинской области.</w:t>
            </w:r>
          </w:p>
          <w:p>
            <w:pPr>
              <w:pStyle w:val="Normal"/>
              <w:spacing w:lineRule="auto" w:line="240" w:before="0" w:after="0"/>
              <w:ind w:hanging="0"/>
              <w:jc w:val="both"/>
              <w:rPr/>
            </w:pPr>
            <w:r>
              <w:rPr>
                <w:rFonts w:eastAsia="TimesNewRomanCYR" w:cs="TimesNewRomanCYR" w:ascii="Times New Roman" w:hAnsi="Times New Roman"/>
                <w:sz w:val="18"/>
                <w:szCs w:val="18"/>
              </w:rPr>
              <w:t xml:space="preserve">П. </w:t>
            </w:r>
            <w:r>
              <w:rPr>
                <w:rFonts w:eastAsia="TimesNewRomanCYR" w:cs="TimesNewRomanCYR" w:ascii="Times New Roman" w:hAnsi="Times New Roman"/>
                <w:sz w:val="18"/>
                <w:szCs w:val="18"/>
              </w:rPr>
              <w:t xml:space="preserve">99. Физические и юридические лица, индивидуальные предприниматели, На территории городского округа сбор, транспортирование, обработка, утилизация, обезвреживание, захоронение твердых коммунальных отходов обеспечиваются региональным оператором по обращению с ТКО по Челябинскому кластеру (далее - региональный оператор ТКО) в соответствии с региональной программой в области обращения с отходами и </w:t>
            </w:r>
            <w:hyperlink r:id="rId13" w:tooltip="http://mobileonline.garant.ru/document/redirect/19865806/1000">
              <w:r>
                <w:rPr>
                  <w:rStyle w:val="Style"/>
                  <w:rFonts w:eastAsia="TimesNewRomanCYR" w:cs="TimesNewRomanCYR" w:ascii="Times New Roman" w:hAnsi="Times New Roman"/>
                  <w:b w:val="false"/>
                  <w:color w:val="auto"/>
                  <w:sz w:val="18"/>
                  <w:szCs w:val="18"/>
                </w:rPr>
                <w:t>Территориальной схемой</w:t>
              </w:r>
            </w:hyperlink>
            <w:r>
              <w:rPr>
                <w:rFonts w:eastAsia="TimesNewRomanCYR" w:cs="TimesNewRomanCYR" w:ascii="Times New Roman" w:hAnsi="Times New Roman"/>
                <w:color w:val="auto"/>
                <w:sz w:val="18"/>
                <w:szCs w:val="18"/>
              </w:rPr>
              <w:t xml:space="preserve"> </w:t>
            </w:r>
            <w:r>
              <w:rPr>
                <w:rFonts w:eastAsia="TimesNewRomanCYR" w:cs="TimesNewRomanCYR" w:ascii="Times New Roman" w:hAnsi="Times New Roman"/>
                <w:sz w:val="18"/>
                <w:szCs w:val="18"/>
              </w:rPr>
              <w:t>обращения с отходами, в том числе с ТКО, Челябинской области на основании договора на оказание услуг по обращению с ТКО, заключенного с собственником ТКО или уполномоченным им ли лицом.</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xml:space="preserve">П. </w:t>
            </w:r>
            <w:r>
              <w:rPr>
                <w:rFonts w:eastAsia="TimesNewRomanCYR" w:cs="TimesNewRomanCYR" w:ascii="Times New Roman" w:hAnsi="Times New Roman"/>
                <w:sz w:val="18"/>
                <w:szCs w:val="18"/>
              </w:rPr>
              <w:t>100. Региональный оператор ТКО отвечает за обращение с ТКО с момента погрузки таких отходов в мусоровоз.</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Уборку оброненных (просыпавшихся и др.) при погрузке ТКО и перемещение их в мусоровоз, а также ТКО, просыпавшихся из мусоровоза при движении по маршруту транспортирования ТКО, осуществляет региональный оператор ТКО.</w:t>
            </w:r>
          </w:p>
          <w:p>
            <w:pPr>
              <w:pStyle w:val="Normal"/>
              <w:spacing w:lineRule="auto" w:line="240" w:before="0" w:after="0"/>
              <w:ind w:hanging="0"/>
              <w:jc w:val="both"/>
              <w:rPr/>
            </w:pPr>
            <w:r>
              <w:rPr>
                <w:rFonts w:eastAsia="TimesNewRomanCYR" w:cs="TimesNewRomanCYR" w:ascii="Times New Roman" w:hAnsi="Times New Roman"/>
                <w:sz w:val="18"/>
                <w:szCs w:val="18"/>
              </w:rPr>
              <w:t xml:space="preserve">П. 101. Вывоз (транспортирование) отходов от источников их образования осуществляется на объекты обработки, утилизации, обезвреживания, размещения отходов в соответствии со схемой потоков ТКО, закрепленной в </w:t>
            </w:r>
            <w:hyperlink r:id="rId14" w:tooltip="http://mobileonline.garant.ru/document/redirect/19865806/1000">
              <w:r>
                <w:rPr>
                  <w:rStyle w:val="Style"/>
                  <w:rFonts w:eastAsia="TimesNewRomanCYR" w:cs="TimesNewRomanCYR" w:ascii="Times New Roman" w:hAnsi="Times New Roman"/>
                  <w:b w:val="false"/>
                  <w:color w:themeColor="text1" w:val="000000"/>
                  <w:sz w:val="18"/>
                  <w:szCs w:val="18"/>
                </w:rPr>
                <w:t>Территориальной схеме</w:t>
              </w:r>
            </w:hyperlink>
            <w:r>
              <w:rPr>
                <w:rFonts w:eastAsia="TimesNewRomanCYR" w:cs="TimesNewRomanCYR" w:ascii="Times New Roman" w:hAnsi="Times New Roman"/>
                <w:sz w:val="18"/>
                <w:szCs w:val="18"/>
              </w:rPr>
              <w:t xml:space="preserve"> обращени</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xml:space="preserve">П. </w:t>
            </w:r>
            <w:r>
              <w:rPr>
                <w:rFonts w:eastAsia="TimesNewRomanCYR" w:cs="TimesNewRomanCYR" w:ascii="Times New Roman" w:hAnsi="Times New Roman"/>
                <w:sz w:val="18"/>
                <w:szCs w:val="18"/>
              </w:rPr>
              <w:t>102. Физические и юридические лица, индивидуальные предприниматели (за исключением собственников и (или) иных законных владельцев помещений в многоквартирных домах и обслуживающих организаций), принявшие на себя обязательства содержать территории, здания, строения, сооружения:</w:t>
            </w:r>
          </w:p>
          <w:p>
            <w:pPr>
              <w:pStyle w:val="Normal"/>
              <w:spacing w:lineRule="auto" w:line="240" w:before="0" w:after="0"/>
              <w:ind w:hanging="0"/>
              <w:jc w:val="both"/>
              <w:rPr/>
            </w:pPr>
            <w:r>
              <w:rPr>
                <w:rFonts w:eastAsia="TimesNewRomanCYR" w:cs="TimesNewRomanCYR" w:ascii="Times New Roman" w:hAnsi="Times New Roman"/>
                <w:sz w:val="18"/>
                <w:szCs w:val="18"/>
              </w:rPr>
              <w:t xml:space="preserve">1) заключают договор на оказание услуг по обращению с ТКО с региональным оператором ТКО в соответствии с </w:t>
            </w:r>
            <w:hyperlink r:id="rId15" w:tooltip="http://mobileonline.garant.ru/document/redirect/12112084/247">
              <w:r>
                <w:rPr>
                  <w:rStyle w:val="Style"/>
                  <w:rFonts w:eastAsia="TimesNewRomanCYR" w:cs="TimesNewRomanCYR" w:ascii="Times New Roman" w:hAnsi="Times New Roman"/>
                  <w:b w:val="false"/>
                  <w:color w:themeColor="text1" w:val="000000"/>
                  <w:sz w:val="18"/>
                  <w:szCs w:val="18"/>
                </w:rPr>
                <w:t>законодательством</w:t>
              </w:r>
            </w:hyperlink>
            <w:r>
              <w:rPr>
                <w:rFonts w:eastAsia="TimesNewRomanCYR" w:cs="TimesNewRomanCYR" w:ascii="Times New Roman" w:hAnsi="Times New Roman"/>
                <w:color w:themeColor="text1" w:val="000000"/>
                <w:sz w:val="18"/>
                <w:szCs w:val="18"/>
              </w:rPr>
              <w:t>;</w:t>
            </w:r>
          </w:p>
          <w:p>
            <w:pPr>
              <w:pStyle w:val="Normal"/>
              <w:spacing w:lineRule="auto" w:line="240" w:before="0" w:after="0"/>
              <w:ind w:hanging="0"/>
              <w:jc w:val="both"/>
              <w:rPr/>
            </w:pPr>
            <w:r>
              <w:rPr>
                <w:rFonts w:eastAsia="TimesNewRomanCYR" w:cs="TimesNewRomanCYR" w:ascii="Times New Roman" w:hAnsi="Times New Roman"/>
                <w:color w:themeColor="text1" w:val="000000"/>
                <w:sz w:val="18"/>
                <w:szCs w:val="18"/>
              </w:rPr>
              <w:t xml:space="preserve">2) создают контейнерные площадки, соответствующие требованиям </w:t>
            </w:r>
            <w:hyperlink r:id="rId16" w:tooltip="http://mobileonline.garant.ru/document/redirect/12115118/22">
              <w:r>
                <w:rPr>
                  <w:rStyle w:val="Style"/>
                  <w:rFonts w:eastAsia="TimesNewRomanCYR" w:cs="TimesNewRomanCYR" w:ascii="Times New Roman" w:hAnsi="Times New Roman"/>
                  <w:b w:val="false"/>
                  <w:color w:themeColor="text1" w:val="000000"/>
                  <w:sz w:val="18"/>
                  <w:szCs w:val="18"/>
                </w:rPr>
                <w:t>законодательства</w:t>
              </w:r>
            </w:hyperlink>
            <w:r>
              <w:rPr>
                <w:rFonts w:eastAsia="TimesNewRomanCYR" w:cs="TimesNewRomanCYR" w:ascii="Times New Roman" w:hAnsi="Times New Roman"/>
                <w:color w:themeColor="text1" w:val="000000"/>
                <w:sz w:val="18"/>
                <w:szCs w:val="18"/>
              </w:rPr>
              <w:t xml:space="preserve"> в области санитарно-эпидемиологического благополучия населения и иного законодательства Российской Федерации в местах, согласованных с уполномоченным органом местного самоуправления в порядке,</w:t>
            </w:r>
          </w:p>
          <w:p>
            <w:pPr>
              <w:pStyle w:val="Normal"/>
              <w:spacing w:lineRule="auto" w:line="240" w:before="0" w:after="0"/>
              <w:ind w:hanging="0"/>
              <w:jc w:val="both"/>
              <w:rPr/>
            </w:pPr>
            <w:r>
              <w:rPr>
                <w:rFonts w:eastAsia="TimesNewRomanCYR" w:cs="TimesNewRomanCYR" w:ascii="Times New Roman" w:hAnsi="Times New Roman"/>
                <w:color w:themeColor="text1" w:val="000000"/>
                <w:sz w:val="18"/>
                <w:szCs w:val="18"/>
              </w:rPr>
              <w:t xml:space="preserve">установленном нормативным правовым актом администрации городского округа, либо заключают договор на использование контейнерной площадки с собственником контейнерной площадки в соответствии с </w:t>
            </w:r>
            <w:hyperlink r:id="rId17" w:tooltip="http://mobileonline.garant.ru/document/redirect/10164072/2034">
              <w:r>
                <w:rPr>
                  <w:rStyle w:val="Style"/>
                  <w:rFonts w:eastAsia="TimesNewRomanCYR" w:cs="TimesNewRomanCYR" w:ascii="Times New Roman" w:hAnsi="Times New Roman"/>
                  <w:b w:val="false"/>
                  <w:color w:themeColor="text1" w:val="000000"/>
                  <w:sz w:val="18"/>
                  <w:szCs w:val="18"/>
                </w:rPr>
                <w:t>законодательством</w:t>
              </w:r>
            </w:hyperlink>
            <w:r>
              <w:rPr>
                <w:rFonts w:eastAsia="TimesNewRomanCYR" w:cs="TimesNewRomanCYR" w:ascii="Times New Roman" w:hAnsi="Times New Roman"/>
                <w:color w:themeColor="text1" w:val="000000"/>
                <w:sz w:val="18"/>
                <w:szCs w:val="18"/>
              </w:rPr>
              <w:t>;</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3) предоставляют сведения для внесения в реестр мест (площадок) накопления ТКО городского округа (далее - реестр) сведений о созданных ими контейнерных площадках в порядке, установленном нормативным правовым актам администрации городского округа, сообщают в уполномоченный на ведение реестра орган администрации городского округа о любых изменениях сведений, содержащихся в данном реестре, в срок не позднее 5 рабочих дней со дня наступления таких изменений путем направления соответствующего извещения на бумажном носителе;</w:t>
            </w:r>
          </w:p>
          <w:p>
            <w:pPr>
              <w:pStyle w:val="Normal"/>
              <w:spacing w:lineRule="auto" w:line="240" w:before="0" w:after="0"/>
              <w:ind w:hanging="0"/>
              <w:jc w:val="both"/>
              <w:rPr/>
            </w:pPr>
            <w:r>
              <w:rPr>
                <w:rFonts w:eastAsia="TimesNewRomanCYR" w:cs="TimesNewRomanCYR" w:ascii="Times New Roman" w:hAnsi="Times New Roman"/>
                <w:sz w:val="18"/>
                <w:szCs w:val="18"/>
              </w:rPr>
              <w:t>4) оборудуют контейнерные площадки контейнерами, бункерами для накопления ТКО, крупногабаритных отходов либо заключают договор на использование контейнеров, бункеров с собственником контейнеров, бункеров в соответствии с</w:t>
            </w:r>
            <w:r>
              <w:rPr>
                <w:rFonts w:eastAsia="TimesNewRomanCYR" w:cs="TimesNewRomanCYR" w:ascii="Times New Roman" w:hAnsi="Times New Roman"/>
                <w:color w:themeColor="text1" w:val="000000"/>
                <w:sz w:val="18"/>
                <w:szCs w:val="18"/>
              </w:rPr>
              <w:t xml:space="preserve"> </w:t>
            </w:r>
            <w:hyperlink r:id="rId18" w:tooltip="http://mobileonline.garant.ru/document/redirect/10164072/2034">
              <w:r>
                <w:rPr>
                  <w:rStyle w:val="Style"/>
                  <w:rFonts w:eastAsia="TimesNewRomanCYR" w:cs="TimesNewRomanCYR" w:ascii="Times New Roman" w:hAnsi="Times New Roman"/>
                  <w:b w:val="false"/>
                  <w:color w:themeColor="text1" w:val="000000"/>
                  <w:sz w:val="18"/>
                  <w:szCs w:val="18"/>
                </w:rPr>
                <w:t>законодательством</w:t>
              </w:r>
            </w:hyperlink>
            <w:r>
              <w:rPr>
                <w:rFonts w:eastAsia="TimesNewRomanCYR" w:cs="TimesNewRomanCYR" w:ascii="Times New Roman" w:hAnsi="Times New Roman"/>
                <w:color w:themeColor="text1" w:val="000000"/>
                <w:sz w:val="18"/>
                <w:szCs w:val="18"/>
              </w:rPr>
              <w:t>;</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5) осуществляют накопление отходов в местах накопления ТКО, определенных договором на оказание услуг по обращению с отходами, заключенным с региональным оператором по обращению с ТКО по Челябинскому кластеру:</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а) ТКО:</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в металлические или пластиковые контейнеры, расположенные в мусороприемных камерах (при наличии соответствующей внутридомовой инженерной системы);</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в металлические или пластиковые контейнеры, оборудованные крышкой (за исключением контейнеров, расположенных на площадках, имеющих крышу), металлические бункеры, заглубленные контейнеры с крышкой, расположенные на контейнерных площадках;</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в пакеты или другие емкости, предоставленные региональным оператором ТКО, в случаях, предусмотренных договором с региональным оператором;</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б) крупногабаритные отходы:</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в металлические бункеры, расположенные на контейнерных площадках;</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на специальных площадках для складирования крупногабаритных отходов;</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6) содержат контейнерные площадки и прилегающую к ним территорию в чистоте и порядке, очищают их от мусора ежедневно в соответствии с графиком уборки. Работы по уборке контейнерных площадок включают:</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уборку (подборку) ТКО на территории контейнерной площадки и вокруг нее;</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ручную погрузку подобранных ТКО в контейнеры, бункеры, установленные на контейнерной площадке;</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подметание территории контейнерной площадки и прилегающей к ней территории;</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7) не допускают переполнение ТКО контейнеров (бункеров) выше кромки контейнера (бункера), пакетов и других емкостей выше нормы, установленной региональным оператором ТКО, прессование и уплотнение ТКО в контейнерах (бункерах), затрудняющее их высыпание при погрузке в мусоровоз;</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8) не допускают повреждения контейнеров (бункеров), сжигания отходов в контейнерах (бункерах), на контейнерных площадках, складирования в контейнерах (бункерах) запрещенных отходов и предметов;</w:t>
            </w:r>
          </w:p>
          <w:p>
            <w:pPr>
              <w:pStyle w:val="Normal"/>
              <w:spacing w:lineRule="auto" w:line="240" w:before="0" w:after="0"/>
              <w:ind w:hanging="0"/>
              <w:jc w:val="both"/>
              <w:rPr/>
            </w:pPr>
            <w:r>
              <w:rPr>
                <w:rFonts w:eastAsia="TimesNewRomanCYR" w:cs="TimesNewRomanCYR" w:ascii="Times New Roman" w:hAnsi="Times New Roman"/>
                <w:sz w:val="18"/>
                <w:szCs w:val="18"/>
              </w:rPr>
              <w:t>9) при возгорании отходов в контейнерах (бункерах) своевременно принимают меры по тушению возгорания в соответствии с</w:t>
            </w:r>
            <w:r>
              <w:rPr>
                <w:rFonts w:eastAsia="TimesNewRomanCYR" w:cs="TimesNewRomanCYR" w:ascii="Times New Roman" w:hAnsi="Times New Roman"/>
                <w:color w:themeColor="text1" w:val="000000"/>
                <w:sz w:val="18"/>
                <w:szCs w:val="18"/>
              </w:rPr>
              <w:t xml:space="preserve"> </w:t>
            </w:r>
            <w:hyperlink r:id="rId19" w:tooltip="http://mobileonline.garant.ru/document/redirect/10103955/22">
              <w:r>
                <w:rPr>
                  <w:rStyle w:val="Style"/>
                  <w:rFonts w:eastAsia="TimesNewRomanCYR" w:cs="TimesNewRomanCYR" w:ascii="Times New Roman" w:hAnsi="Times New Roman"/>
                  <w:b w:val="false"/>
                  <w:color w:themeColor="text1" w:val="000000"/>
                  <w:sz w:val="18"/>
                  <w:szCs w:val="18"/>
                </w:rPr>
                <w:t>законодательством</w:t>
              </w:r>
            </w:hyperlink>
            <w:r>
              <w:rPr>
                <w:rFonts w:eastAsia="TimesNewRomanCYR" w:cs="TimesNewRomanCYR" w:ascii="Times New Roman" w:hAnsi="Times New Roman"/>
                <w:color w:themeColor="text1" w:val="000000"/>
                <w:sz w:val="18"/>
                <w:szCs w:val="18"/>
              </w:rPr>
              <w:t>;</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10) в случаях, установленных законодательством Челябинской области, осуществляют разделение ТКО по видам отходов и складирование сортированных ТКО в отдельных контейнерах для соответствующих видов ТКО;</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11) принимают меры для недопущения образования несанкционированных свалок отходов, мест несанкционированного размещения ТКО, а в случае их образования принимают меры по ликвидации в соответствии с законодательством.</w:t>
            </w:r>
          </w:p>
          <w:p>
            <w:pPr>
              <w:pStyle w:val="Normal"/>
              <w:spacing w:lineRule="auto" w:line="240" w:before="0" w:after="0"/>
              <w:ind w:hanging="0"/>
              <w:jc w:val="both"/>
              <w:rPr/>
            </w:pPr>
            <w:r>
              <w:rPr>
                <w:rFonts w:eastAsia="TimesNewRomanCYR" w:cs="TimesNewRomanCYR" w:ascii="Times New Roman" w:hAnsi="Times New Roman"/>
                <w:sz w:val="18"/>
                <w:szCs w:val="18"/>
              </w:rPr>
              <w:t xml:space="preserve">П. 103. </w:t>
            </w:r>
            <w:r>
              <w:rPr>
                <w:rFonts w:eastAsia="TimesNewRomanCYR" w:cs="TimesNewRomanCYR" w:ascii="Times New Roman" w:hAnsi="Times New Roman"/>
                <w:sz w:val="18"/>
                <w:szCs w:val="18"/>
              </w:rPr>
              <w:t xml:space="preserve">Для установки контейнеров (бункеров), складирования крупногабаритных отходов должна быть оборудована контейнерная площадка, соответствующая требованиям </w:t>
            </w:r>
            <w:hyperlink r:id="rId20" w:tooltip="http://mobileonline.garant.ru/document/redirect/12115118/3">
              <w:r>
                <w:rPr>
                  <w:rStyle w:val="Style"/>
                  <w:rFonts w:eastAsia="TimesNewRomanCYR" w:cs="TimesNewRomanCYR" w:ascii="Times New Roman" w:hAnsi="Times New Roman"/>
                  <w:b w:val="false"/>
                  <w:color w:themeColor="text1" w:val="000000"/>
                  <w:sz w:val="18"/>
                  <w:szCs w:val="18"/>
                </w:rPr>
                <w:t>законодательства</w:t>
              </w:r>
            </w:hyperlink>
            <w:r>
              <w:rPr>
                <w:rFonts w:eastAsia="TimesNewRomanCYR" w:cs="TimesNewRomanCYR" w:ascii="Times New Roman" w:hAnsi="Times New Roman"/>
                <w:color w:themeColor="text1" w:val="000000"/>
                <w:sz w:val="18"/>
                <w:szCs w:val="18"/>
              </w:rPr>
              <w:t xml:space="preserve"> Российской Федерации в области санитарно-эпидемиологического благополучия населения и иного </w:t>
            </w:r>
            <w:hyperlink r:id="rId21" w:tooltip="http://mobileonline.garant.ru/document/redirect/72036220/41">
              <w:r>
                <w:rPr>
                  <w:rStyle w:val="Style"/>
                  <w:rFonts w:eastAsia="TimesNewRomanCYR" w:cs="TimesNewRomanCYR" w:ascii="Times New Roman" w:hAnsi="Times New Roman"/>
                  <w:b w:val="false"/>
                  <w:color w:themeColor="text1" w:val="000000"/>
                  <w:sz w:val="18"/>
                  <w:szCs w:val="18"/>
                </w:rPr>
                <w:t>законодательства</w:t>
              </w:r>
            </w:hyperlink>
            <w:r>
              <w:rPr>
                <w:rFonts w:eastAsia="TimesNewRomanCYR" w:cs="TimesNewRomanCYR" w:ascii="Times New Roman" w:hAnsi="Times New Roman"/>
                <w:sz w:val="18"/>
                <w:szCs w:val="18"/>
              </w:rPr>
              <w:t xml:space="preserve"> Российской Федерации, устанавливающего требования к местам (площадкам) накопления твердых коммунальных отходов, настоящих Правил.</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xml:space="preserve">П. 104 </w:t>
            </w:r>
            <w:r>
              <w:rPr>
                <w:rFonts w:eastAsia="TimesNewRomanCYR" w:cs="TimesNewRomanCYR" w:ascii="Times New Roman" w:hAnsi="Times New Roman"/>
                <w:sz w:val="18"/>
                <w:szCs w:val="18"/>
              </w:rPr>
              <w:t>Обустройство и удаление контейнерной площадки от жилых домов, детских учреждений, мест отдыха, иных объектов должно соответствовать санитарным нормам и правилам. Площадка для ТКО и крупногабаритных отходов должна иметь ровное бетонное или асфальтовое покрытие с уклоном в сторону проезжей части. Допускается изготовление контейнерных площадок закрытого типа по индивидуальным проектам (эскизам), разработанным и согласованным в установленном порядке.</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Площадки для накопления ТКО могут быть совмещены с площадками для складирования крупногабаритных отходов и площадками для накопления отходов, запрещенных к совместному складированию с ТКО (батареи, аккумуляторы и др.).</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xml:space="preserve">П. 105. </w:t>
            </w:r>
            <w:r>
              <w:rPr>
                <w:rFonts w:eastAsia="TimesNewRomanCYR" w:cs="TimesNewRomanCYR" w:ascii="Times New Roman" w:hAnsi="Times New Roman"/>
                <w:sz w:val="18"/>
                <w:szCs w:val="18"/>
              </w:rPr>
              <w:t>На территории многоквартирных домовладений со сложившейся застройкой, в отсутствии возможности соблюдения санитарных разрывов до контейнерной площадки допустимо размещение одной контейнерной площадки на несколько жилых домов при соблюдении нормы накопления ТКО и ее долевое создание, использование и содержание.</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xml:space="preserve">П. 106. </w:t>
            </w:r>
            <w:r>
              <w:rPr>
                <w:rFonts w:eastAsia="TimesNewRomanCYR" w:cs="TimesNewRomanCYR" w:ascii="Times New Roman" w:hAnsi="Times New Roman"/>
                <w:sz w:val="18"/>
                <w:szCs w:val="18"/>
              </w:rPr>
              <w:t>Юридические лица и индивидуальные предприниматели - собственники отходов от использования потребительских товаров и упаковки, утративших свои потребительские свойства, входящих в состав ТКО, не получившие разрешение регионального оператора ТКО на складирование отходов на контейнерных площадках и площадках для складирования крупногабаритных отходов, обязаны оборудовать отдельную контейнерную площадку для своих отходов либо заключить договор на использование контейнерной площадки, не относящейся к многоквартирному домовладению, с собственником такой контейнерной площадки в соответствии с законодательством.</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xml:space="preserve">П. 107. </w:t>
            </w:r>
            <w:r>
              <w:rPr>
                <w:rFonts w:eastAsia="TimesNewRomanCYR" w:cs="TimesNewRomanCYR" w:ascii="Times New Roman" w:hAnsi="Times New Roman"/>
                <w:sz w:val="18"/>
                <w:szCs w:val="18"/>
              </w:rPr>
              <w:t>Накопление ТКО с территорий объектов торговли, общественного питания и бытового обслуживания населения, дошкольных образовательных организаций и общеобразовательных организаций, медицинских учреждений осуществляется с соблюдением санитарных норм и правил, регулирующих соответствующую сферу деятельности.</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Накопление ТКО от объектов нестационарной торговой сети производится в контейнеры для отходов, оборудованные плотно закрывающейся крышкой.</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Допускается накопление ТКО от объектов нестационарной торговой сети (за исключением опасных ТКО) в находящиеся рядом контейнеры для ТКО по договору с собственниками контейнерных площадок при соблюдении норм накопления.</w:t>
            </w:r>
          </w:p>
          <w:p>
            <w:pPr>
              <w:pStyle w:val="Normal"/>
              <w:spacing w:lineRule="auto" w:line="240" w:before="0" w:after="0"/>
              <w:ind w:hanging="0"/>
              <w:jc w:val="both"/>
              <w:rPr>
                <w:rFonts w:ascii="Times New Roman" w:hAnsi="Times New Roman"/>
                <w:sz w:val="18"/>
                <w:szCs w:val="18"/>
              </w:rPr>
            </w:pPr>
            <w:r>
              <w:rPr>
                <w:rFonts w:cs="Times New Roman" w:ascii="Times New Roman" w:hAnsi="Times New Roman"/>
                <w:sz w:val="18"/>
                <w:szCs w:val="18"/>
              </w:rPr>
              <w:t xml:space="preserve">П. 108. </w:t>
            </w:r>
            <w:r>
              <w:rPr>
                <w:rFonts w:eastAsia="TimesNewRomanCYR" w:cs="TimesNewRomanCYR" w:ascii="Times New Roman" w:hAnsi="Times New Roman"/>
                <w:sz w:val="18"/>
                <w:szCs w:val="18"/>
              </w:rPr>
              <w:t>Создание и содержание контейнерных площадок для накопления ТКО, образуемых юридическими лицами и индивидуальными предпринимателями, занимающими отдельно стоящие здания (земельные участки) осуществляют собственники таких отходов либо собственники зданий (земельных участков) по договору с собственниками ТКО (организации, осуществляющие управление зданиями (земельными участками), если собственниками помещений в здании (землевладельцами) заключен договор на управление/эксплуатацию здания (земельного участка).</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Создание и содержание контейнерных площадок для накопления ТКО, образующихся в многоквартирных домовладениях, осуществляют собственники помещений в многоквартирном доме (организации, обслуживающие жилищный фонд, если собственниками заключен договор на управление/эксплуатацию многоквартирным домом):</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1) на придомовых территориях, вне зависимости от постановки данного земельного участка на кадастровый учет;</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2) на земельных участках, входящих в состав общего имущества собственников помещений в многоквартирном доме;</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3) на земельных участках, находящихся в муниципальной собственности, и земельных участках, государственная собственность на которые не разграничена, на основании разрешения на использование земель или земельных участков, находящихся в муниципальной собственности городского округа, без предоставления земельных участков и установления сервитута, публичного сервитута в порядке, установленном правовым актом администрации городского округа. Определение места размещения контейнерной площадки осуществляется администрацией с учетом предложений управляющей компании.</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Создание и содержание контейнерных площадок на территории индивидуальной жилой застройки организует уполномоченный орган администрации городского округа.</w:t>
            </w:r>
          </w:p>
          <w:p>
            <w:pPr>
              <w:pStyle w:val="ConsPlusNormal"/>
              <w:spacing w:before="0" w:after="0"/>
              <w:rPr>
                <w:rFonts w:ascii="Times New Roman" w:hAnsi="Times New Roman"/>
                <w:sz w:val="18"/>
                <w:szCs w:val="18"/>
              </w:rPr>
            </w:pPr>
            <w:r>
              <w:rPr>
                <w:rFonts w:eastAsia="TimesNewRomanCYR" w:cs="TimesNewRomanCYR" w:ascii="Times New Roman" w:hAnsi="Times New Roman"/>
                <w:sz w:val="18"/>
                <w:szCs w:val="18"/>
              </w:rPr>
              <w:t>Создание и содержание контейнерных площадок для накопления ТКО, образующихся в зданиях, строениях, сооружениях, на земельных участках, находящихся в государственной либо муниципальной собственности, осуществляют правообладатели зданий, строений, сооружений, земельных участков либо организации, отвечающие за управление/эксплуатацию таких зданий, строений, сооружений, земельных участков по договору с правообладателями.</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xml:space="preserve">П. 109. </w:t>
            </w:r>
            <w:r>
              <w:rPr>
                <w:rFonts w:eastAsia="TimesNewRomanCYR" w:cs="TimesNewRomanCYR" w:ascii="Times New Roman" w:hAnsi="Times New Roman"/>
                <w:sz w:val="18"/>
                <w:szCs w:val="18"/>
              </w:rPr>
              <w:t>На территории города запрещается:</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1) эксплуатация контейнерных площадок, площадок для складирования крупногабаритных отходов, контейнеров, бункеров в технически неисправном состоянии или состоянии, не соответствующем санитарным нормам и правилам;</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2) переполнение ТКО контейнеров, бункеров, пакетов и других емкостей, прессование и уплотнение ТКО в контейнерах, бункерах;</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3) выгрузка отходов из контейнеров, бункеров в специально непредназначенные и необорудованные для этих целей транспортные средства;</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4) размещение контейнеров, бункеров вне специально оборудованных контейнерных площадок;</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5) размещение новых контейнерных площадок в местах, не согласованных с уполномоченным органом местного самоуправления;</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6) транспортирование отходов способом, допускающим загрязнение территорий по пути следования транспортного средства, перевозящего отходы;</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7) складирование ТКО на контейнерных площадках, не указанных в договоре на оказание услуг по обращению с ТКО, заключенном с региональным оператором ТКО;</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8) складирование ТКО вне контейнеров или в контейнеры, не предназначенные для таких видов отходов, за исключением случаев, установленных законодательством Российской Федерации;</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9) складирование в контейнерах для ТКО горящих, раскаленных или горячих отходов, крупногабаритных отходов, снега и льда, осветительных приборов и электрических ламп, содержащих ртуть, батарей и аккумуляторов, медицинских отходов, а также иных отходов, которые могут причинить вред жизни и здоровью лиц, осуществляющих погрузку (разгрузку) контейнеров, повредить контейнеры, мусоровозы или нарушить режим работы объектов по обработке, обезвреживанию, утилизации, захоронению ТКО;</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10) организация мест (площадок) накопления отходов от использования потребительских товаров и упаковки, утративших свои потребительские свойства, входящих в состав ТКО, на контейнерных площадках и специальных площадках для складирования крупногабаритных отходов без письменного согласия регионального оператора ТКО, за исключением случаев, предусмотренных  настоящих Правил.</w:t>
            </w:r>
          </w:p>
          <w:p>
            <w:pPr>
              <w:pStyle w:val="ConsPlusNormal"/>
              <w:spacing w:before="0" w:after="0"/>
              <w:jc w:val="both"/>
              <w:rPr>
                <w:rFonts w:ascii="Times New Roman" w:hAnsi="Times New Roman"/>
                <w:sz w:val="18"/>
                <w:szCs w:val="18"/>
              </w:rPr>
            </w:pPr>
            <w:r>
              <w:rPr>
                <w:rFonts w:eastAsia="TimesNewRomanCYR" w:cs="TimesNewRomanCYR" w:ascii="Times New Roman" w:hAnsi="Times New Roman"/>
                <w:sz w:val="18"/>
                <w:szCs w:val="18"/>
              </w:rPr>
              <w:t>11) складирование строительного мусора, грунта, отходов строительного производства вне специально отведенных мест (площадок) накопления таких отходов, а также на контейнерных площадках для накопления ТКО.</w:t>
            </w:r>
          </w:p>
          <w:p>
            <w:pPr>
              <w:pStyle w:val="ConsPlusNormal"/>
              <w:spacing w:before="0" w:after="0"/>
              <w:jc w:val="both"/>
              <w:rPr/>
            </w:pPr>
            <w:r>
              <w:rPr>
                <w:rFonts w:eastAsia="TimesNewRomanCYR" w:cs="TimesNewRomanCYR" w:ascii="Times New Roman" w:hAnsi="Times New Roman"/>
                <w:sz w:val="18"/>
                <w:szCs w:val="18"/>
              </w:rPr>
              <w:t xml:space="preserve">П. 110. </w:t>
            </w:r>
            <w:r>
              <w:rPr>
                <w:rFonts w:eastAsia="TimesNewRomanCYR" w:cs="TimesNewRomanCYR" w:ascii="Times New Roman" w:hAnsi="Times New Roman"/>
                <w:sz w:val="18"/>
                <w:szCs w:val="18"/>
              </w:rPr>
              <w:t xml:space="preserve">Сбор, транспортирование, обработка, утилизация, обезвреживание, размещение отходов производства и потребления осуществляется специализированными организациями, уполномоченными на проведение указанных работ, в установленном </w:t>
            </w:r>
            <w:hyperlink r:id="rId22" w:tooltip="http://mobileonline.garant.ru/document/redirect/12112084/246">
              <w:r>
                <w:rPr>
                  <w:rStyle w:val="Style"/>
                  <w:rFonts w:eastAsia="TimesNewRomanCYR" w:cs="TimesNewRomanCYR" w:ascii="Times New Roman" w:hAnsi="Times New Roman"/>
                  <w:b w:val="false"/>
                  <w:color w:themeColor="text1" w:val="000000"/>
                  <w:sz w:val="18"/>
                  <w:szCs w:val="18"/>
                </w:rPr>
                <w:t>законодательством</w:t>
              </w:r>
            </w:hyperlink>
            <w:r>
              <w:rPr>
                <w:rFonts w:eastAsia="TimesNewRomanCYR" w:cs="TimesNewRomanCYR" w:ascii="Times New Roman" w:hAnsi="Times New Roman"/>
                <w:color w:themeColor="text1" w:val="000000"/>
                <w:sz w:val="18"/>
                <w:szCs w:val="18"/>
              </w:rPr>
              <w:t xml:space="preserve"> поряд</w:t>
            </w:r>
            <w:r>
              <w:rPr>
                <w:rFonts w:eastAsia="TimesNewRomanCYR" w:cs="TimesNewRomanCYR" w:ascii="Times New Roman" w:hAnsi="Times New Roman"/>
                <w:sz w:val="18"/>
                <w:szCs w:val="18"/>
              </w:rPr>
              <w:t>ке.</w:t>
            </w:r>
          </w:p>
          <w:p>
            <w:pPr>
              <w:pStyle w:val="ConsPlusNormal"/>
              <w:spacing w:before="0" w:after="0"/>
              <w:ind w:hanging="0" w:left="0" w:right="0"/>
              <w:jc w:val="both"/>
              <w:rPr>
                <w:rFonts w:ascii="Times New Roman" w:hAnsi="Times New Roman"/>
                <w:sz w:val="18"/>
                <w:szCs w:val="18"/>
              </w:rPr>
            </w:pPr>
            <w:r>
              <w:rPr>
                <w:rFonts w:eastAsia="Times New Roman" w:cs="Times New Roman" w:ascii="Times New Roman" w:hAnsi="Times New Roman"/>
                <w:sz w:val="18"/>
                <w:szCs w:val="18"/>
              </w:rPr>
              <w:t>Глава IV дополнена:</w:t>
            </w:r>
          </w:p>
          <w:p>
            <w:pPr>
              <w:pStyle w:val="Normal"/>
              <w:spacing w:lineRule="auto" w:line="240" w:before="0" w:after="0"/>
              <w:ind w:hanging="0"/>
              <w:jc w:val="both"/>
              <w:rPr>
                <w:rFonts w:ascii="Times New Roman" w:hAnsi="Times New Roman"/>
                <w:sz w:val="18"/>
                <w:szCs w:val="18"/>
              </w:rPr>
            </w:pPr>
            <w:r>
              <w:rPr>
                <w:rFonts w:eastAsia="Times New Roman" w:cs="Times New Roman" w:ascii="Times New Roman" w:hAnsi="Times New Roman"/>
                <w:sz w:val="18"/>
                <w:szCs w:val="18"/>
              </w:rPr>
              <w:t xml:space="preserve">П. 110-1. </w:t>
            </w:r>
            <w:r>
              <w:rPr>
                <w:rFonts w:eastAsia="TimesNewRomanCYR" w:cs="TimesNewRomanCYR" w:ascii="Times New Roman" w:hAnsi="Times New Roman"/>
                <w:sz w:val="18"/>
                <w:szCs w:val="18"/>
              </w:rPr>
              <w:t>На рынках, в парках, садах, зонах отдыха, учреждениях образования, здравоохранения и других местах массового посещения населением, на улицах,</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у подъездов многоквартирных домов, на остановках городского пассажирского транспорта, у входов в торговые объекты устанавливаются урны. Урны устанавливают на расстоянии 60 метров одна от другой на основных улицах, рынках и других местах массового посещения населением, на остальных улицах и других территориях - на расстоянии до 100 метров. На остановках городского пассажирского транспорта и у входов в торговые объекты - в количестве не менее двух.</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Установка урн осуществляется с учетом обеспечения беспрепятственного передвижения пешеходов, проезда инвалидных и детских колясок.</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Очистка урн производится собственниками или лицами, осуществляющими по договору содержание территорий, по мере их заполнения.</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При организации мелкорозничной торговли допускается использование емкостей для сбора мусора, удаляемых по окончании торговли вместе с объектом торговли.</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xml:space="preserve">П. 110-2. </w:t>
            </w:r>
            <w:r>
              <w:rPr>
                <w:rFonts w:eastAsia="TimesNewRomanCYR" w:cs="TimesNewRomanCYR" w:ascii="Times New Roman" w:hAnsi="Times New Roman"/>
                <w:sz w:val="18"/>
                <w:szCs w:val="18"/>
              </w:rPr>
              <w:t>Конструкция и внешний вид урн, размещаемых вдоль основных улиц, согласовывается в установленном порядке с УАиГ.</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xml:space="preserve">П. 110-3. </w:t>
            </w:r>
            <w:r>
              <w:rPr>
                <w:rFonts w:eastAsia="TimesNewRomanCYR" w:cs="TimesNewRomanCYR" w:ascii="Times New Roman" w:hAnsi="Times New Roman"/>
                <w:sz w:val="18"/>
                <w:szCs w:val="18"/>
              </w:rPr>
              <w:t>В дни проведения культурных, публичных, массовых мероприятий их организаторы обеспечивают установку временных контейнеров (бункеров) для накопления отходов в соответствии с законодательством.</w:t>
            </w:r>
          </w:p>
          <w:p>
            <w:pPr>
              <w:pStyle w:val="Normal"/>
              <w:spacing w:lineRule="auto" w:line="240" w:before="0" w:after="0"/>
              <w:ind w:hanging="0"/>
              <w:jc w:val="both"/>
              <w:rPr/>
            </w:pPr>
            <w:r>
              <w:rPr>
                <w:rFonts w:eastAsia="TimesNewRomanCYR" w:cs="TimesNewRomanCYR" w:ascii="Times New Roman" w:hAnsi="Times New Roman"/>
                <w:sz w:val="18"/>
                <w:szCs w:val="18"/>
              </w:rPr>
              <w:t xml:space="preserve">П. 110-4. </w:t>
            </w:r>
            <w:r>
              <w:rPr>
                <w:rFonts w:eastAsia="TimesNewRomanCYR" w:cs="TimesNewRomanCYR" w:ascii="Times New Roman" w:hAnsi="Times New Roman"/>
                <w:sz w:val="18"/>
                <w:szCs w:val="18"/>
              </w:rPr>
              <w:t xml:space="preserve">Обращение с отработанными ртутьсодержащими лампами и отходами осуществляется в соответствии с </w:t>
            </w:r>
            <w:hyperlink r:id="rId23" w:tooltip="http://mobileonline.garant.ru/document/redirect/400165422/1000">
              <w:r>
                <w:rPr>
                  <w:rStyle w:val="Style"/>
                  <w:rFonts w:eastAsia="TimesNewRomanCYR" w:cs="TimesNewRomanCYR" w:ascii="Times New Roman" w:hAnsi="Times New Roman"/>
                  <w:b w:val="false"/>
                  <w:color w:themeColor="text1" w:val="000000"/>
                  <w:sz w:val="18"/>
                  <w:szCs w:val="18"/>
                </w:rPr>
                <w:t>требованиями</w:t>
              </w:r>
            </w:hyperlink>
            <w:r>
              <w:rPr>
                <w:rFonts w:eastAsia="TimesNewRomanCYR" w:cs="TimesNewRomanCYR" w:ascii="Times New Roman" w:hAnsi="Times New Roman"/>
                <w:color w:themeColor="text1" w:val="000000"/>
                <w:sz w:val="18"/>
                <w:szCs w:val="18"/>
              </w:rPr>
              <w:t>,</w:t>
            </w:r>
            <w:r>
              <w:rPr>
                <w:rFonts w:eastAsia="TimesNewRomanCYR" w:cs="TimesNewRomanCYR" w:ascii="Times New Roman" w:hAnsi="Times New Roman"/>
                <w:sz w:val="18"/>
                <w:szCs w:val="18"/>
              </w:rPr>
              <w:t xml:space="preserve"> установленными нормативными правовыми актами Российской Федерации и Челябинской области.</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xml:space="preserve">П. 110-5. </w:t>
            </w:r>
            <w:r>
              <w:rPr>
                <w:rFonts w:eastAsia="TimesNewRomanCYR" w:cs="TimesNewRomanCYR" w:ascii="Times New Roman" w:hAnsi="Times New Roman"/>
                <w:sz w:val="18"/>
                <w:szCs w:val="18"/>
              </w:rPr>
              <w:t>В случае сброса мусора, отходов, снега, грунта на территории городского округа вне установленных для этого мест лица, допустившие подобные нарушения, за свой счет принимают меры по незамедлительной уборке загрязненной территории, а при необходимости, по рекультивации земельного участка.</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рекультивация территории свалок производится за счет лиц, обязанных проводить работы по благоустройству и содержанию территорий (за исключением собственников и (или) иных законных владельцев жилых помещений в многоквартирных домах, земельные участки под которыми не образованы или образованы по границам таких домов).</w:t>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t>Раздел 7 Содержание инженерных сооружений и коммуникаций, воздушных линий связи</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13</w:t>
            </w:r>
          </w:p>
        </w:tc>
        <w:tc>
          <w:tcPr>
            <w:tcW w:w="1810"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t>Содержание инженерных сооружений и коммуникаций, воздушных линий связи</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Раздел 8 Содержание строительных объектов</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14</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Содержание строительных объектов</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Глава V Раздел 1 Фасады, информационные указатели ориентирования на зданиях</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15</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Фасады, информационные указатели ориентирования на зданиях</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cs="Times New Roman"/>
              </w:rPr>
            </w:pPr>
            <w:r>
              <w:rPr>
                <w:rFonts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Подраздел 1</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16</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Знаки адресации</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Подраздел 2</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17</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Вывески и указатели, не содержащие сведений рекламного характера</w:t>
            </w:r>
          </w:p>
        </w:tc>
        <w:tc>
          <w:tcPr>
            <w:tcW w:w="8224" w:type="dxa"/>
            <w:tcBorders>
              <w:top w:val="single" w:sz="4" w:space="0" w:color="000000"/>
              <w:left w:val="single" w:sz="4" w:space="0" w:color="000000"/>
              <w:bottom w:val="single" w:sz="4" w:space="0" w:color="000000"/>
              <w:right w:val="single" w:sz="4" w:space="0" w:color="000000"/>
            </w:tcBorders>
          </w:tcPr>
          <w:p>
            <w:pPr>
              <w:pStyle w:val="Style19"/>
              <w:spacing w:lineRule="auto" w:line="240" w:before="0" w:after="0"/>
              <w:ind w:hanging="0" w:left="0" w:right="0"/>
              <w:jc w:val="both"/>
              <w:rPr/>
            </w:pPr>
            <w:r>
              <w:rPr>
                <w:rFonts w:eastAsia="TimesNewRomanCYR" w:cs="TimesNewRomanCYR" w:ascii="Times New Roman" w:hAnsi="Times New Roman"/>
                <w:i w:val="false"/>
                <w:iCs w:val="false"/>
                <w:color w:themeColor="text1" w:val="000000"/>
                <w:sz w:val="18"/>
                <w:szCs w:val="18"/>
                <w:highlight w:val="white"/>
                <w:shd w:fill="F0F0F0" w:val="clear"/>
              </w:rPr>
              <w:t>П. 139, пп. 1, 2 п. 143, пп. 8 п. 146 изменены р</w:t>
            </w:r>
            <w:hyperlink r:id="rId24" w:tooltip="http://mobileonline.garant.ru/document/redirect/407604550/20">
              <w:r>
                <w:rPr>
                  <w:rStyle w:val="Style"/>
                  <w:rFonts w:eastAsia="TimesNewRomanCYR" w:cs="TimesNewRomanCYR" w:ascii="Times New Roman" w:hAnsi="Times New Roman"/>
                  <w:b w:val="false"/>
                  <w:i w:val="false"/>
                  <w:iCs w:val="false"/>
                  <w:color w:themeColor="text1" w:val="000000"/>
                  <w:sz w:val="18"/>
                  <w:szCs w:val="18"/>
                  <w:highlight w:val="white"/>
                  <w:shd w:fill="F0F0F0" w:val="clear"/>
                </w:rPr>
                <w:t>ешение</w:t>
              </w:r>
            </w:hyperlink>
            <w:r>
              <w:rPr>
                <w:rFonts w:eastAsia="TimesNewRomanCYR" w:cs="TimesNewRomanCYR" w:ascii="Times New Roman" w:hAnsi="Times New Roman"/>
                <w:i w:val="false"/>
                <w:iCs w:val="false"/>
                <w:color w:themeColor="text1" w:val="000000"/>
                <w:sz w:val="18"/>
                <w:szCs w:val="18"/>
                <w:highlight w:val="white"/>
                <w:shd w:fill="F0F0F0" w:val="clear"/>
              </w:rPr>
              <w:t>м С</w:t>
            </w:r>
            <w:r>
              <w:rPr>
                <w:rFonts w:eastAsia="TimesNewRomanCYR" w:cs="TimesNewRomanCYR" w:ascii="Times New Roman" w:hAnsi="Times New Roman"/>
                <w:i w:val="false"/>
                <w:iCs w:val="false"/>
                <w:color w:themeColor="text1" w:val="000000"/>
                <w:sz w:val="18"/>
                <w:szCs w:val="18"/>
                <w:highlight w:val="white"/>
                <w:shd w:fill="F0F0F0" w:val="clear"/>
              </w:rPr>
              <w:t>Д КГО</w:t>
            </w:r>
            <w:r>
              <w:rPr>
                <w:rFonts w:eastAsia="TimesNewRomanCYR" w:cs="TimesNewRomanCYR" w:ascii="Times New Roman" w:hAnsi="Times New Roman"/>
                <w:i w:val="false"/>
                <w:iCs w:val="false"/>
                <w:color w:themeColor="text1" w:val="000000"/>
                <w:sz w:val="18"/>
                <w:szCs w:val="18"/>
                <w:highlight w:val="white"/>
                <w:shd w:fill="F0F0F0" w:val="clear"/>
              </w:rPr>
              <w:t xml:space="preserve"> от 23.</w:t>
            </w:r>
            <w:r>
              <w:rPr>
                <w:rFonts w:eastAsia="TimesNewRomanCYR" w:cs="TimesNewRomanCYR" w:ascii="Times New Roman" w:hAnsi="Times New Roman"/>
                <w:i w:val="false"/>
                <w:iCs w:val="false"/>
                <w:color w:themeColor="text1" w:val="000000"/>
                <w:sz w:val="18"/>
                <w:szCs w:val="18"/>
                <w:highlight w:val="white"/>
                <w:shd w:fill="F0F0F0" w:val="clear"/>
              </w:rPr>
              <w:t>08.2023</w:t>
            </w:r>
            <w:r>
              <w:rPr>
                <w:rFonts w:eastAsia="TimesNewRomanCYR" w:cs="TimesNewRomanCYR" w:ascii="Times New Roman" w:hAnsi="Times New Roman"/>
                <w:i w:val="false"/>
                <w:iCs w:val="false"/>
                <w:color w:themeColor="text1" w:val="000000"/>
                <w:sz w:val="18"/>
                <w:szCs w:val="18"/>
                <w:highlight w:val="white"/>
                <w:shd w:fill="F0F0F0" w:val="clear"/>
              </w:rPr>
              <w:t xml:space="preserve"> № 841-МО</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П. 139. Организации, индивидуальные предприниматели осуществляют размещение Вывесок на плоских участках фасада, свободных от архитектурных элементов, исключительно в пределах площади внешних поверхностей объекта, соответствующей фактическим размерам занимаемых данными организациями, индивидуальными предпринимателями помещений. Требование настоящего пункта не распространяется на случаи размещения информационных конструкций на торговых, развлекательных центрах организациями, индивидуальными предпринимателями, местом фактического нахождения или осуществления деятельности которых являются указанные торговые, развлекательные центры.</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Конструкции меню, указанные в  настоящих Правил, размещаются на плоских участках фасада, свободных от архитектурных элементов, непосредственно у входа (справа или слева) в помещение, указанное в , или на входных дверях в него, не выше уровня дверного проема.</w:t>
            </w:r>
          </w:p>
          <w:p>
            <w:pPr>
              <w:pStyle w:val="Normal"/>
              <w:spacing w:lineRule="auto" w:line="240" w:before="0" w:after="0"/>
              <w:ind w:hanging="0"/>
              <w:jc w:val="both"/>
              <w:rPr>
                <w:rFonts w:ascii="Times New Roman" w:hAnsi="Times New Roman"/>
                <w:sz w:val="18"/>
                <w:szCs w:val="18"/>
              </w:rPr>
            </w:pPr>
            <w:r>
              <w:rPr>
                <w:rFonts w:cs="Times New Roman" w:ascii="Times New Roman" w:hAnsi="Times New Roman"/>
                <w:sz w:val="18"/>
                <w:szCs w:val="18"/>
              </w:rPr>
              <w:t xml:space="preserve">Пп. 1, 2 п. 143. </w:t>
            </w:r>
            <w:r>
              <w:rPr>
                <w:rFonts w:eastAsia="TimesNewRomanCYR" w:cs="TimesNewRomanCYR" w:ascii="Times New Roman" w:hAnsi="Times New Roman"/>
                <w:sz w:val="18"/>
                <w:szCs w:val="18"/>
              </w:rPr>
              <w:t>Настенные конструкции, размещаемые на фасадах зданий, строений, сооружений, должны соответствовать следующим требованиям:</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1) настенные конструкции размещаются над входом или окнами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В случае если помещения, указанные в  настоящих Правил располагаются в подвальных или цокольных этажах объектов и отсутствует возможность размещения Вывесок в соответствии с требованиями , допускается размещение вывесок над окнами подвального или цокольного этажа, но не ниже 0,6 метров от уровня земли до нижнего края настенной конструкции. При этом Вывеска не должна выступать от плоскости фасада более чем на 0,1 метра.</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Размещение Вывесок с вертикальным порядком расположения букв на информационном поле Вывески осуществляется в соответствии с дизайн-проектом размещения Вывески, разработанным и согласованным в соответствии с требованиями настоящих Правил;</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2) максимальный размер настенных конструкций, размещаемых организациями, индивидуальными предпринимателями на фасадах зданий, строений, сооружений, не должен превышать:</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по высоте - 0,5 метров, за исключением размещения настенной Вывески на фризе;</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по длине - 70 процентов от длины фасада, соответствующей занимаемым данными организациями, индивидуальными предпринимателями помещениям, но не более 15,0 метров для единичной конструкции.</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При размещении настенной конструкции в пределах 70 процентов от длины фасада в виде комплекса идентичных взаимосвязанных элементов (информационное поле (текстовая часть) и декоративно-художественные элементы) максимальный размер каждого из указанных элементов не должен превышать 10 метров в длину.</w:t>
            </w:r>
          </w:p>
          <w:p>
            <w:pPr>
              <w:pStyle w:val="Normal"/>
              <w:spacing w:lineRule="auto" w:line="240" w:before="0" w:after="0"/>
              <w:ind w:hanging="0"/>
              <w:jc w:val="both"/>
              <w:rPr>
                <w:rFonts w:ascii="Times New Roman" w:hAnsi="Times New Roman"/>
                <w:sz w:val="18"/>
                <w:szCs w:val="18"/>
              </w:rPr>
            </w:pPr>
            <w:bookmarkStart w:id="44" w:name="undefined_Копия_22"/>
            <w:bookmarkEnd w:id="44"/>
            <w:r>
              <w:rPr>
                <w:rFonts w:eastAsia="TimesNewRomanCYR" w:cs="TimesNewRomanCYR" w:ascii="Times New Roman" w:hAnsi="Times New Roman"/>
                <w:sz w:val="18"/>
                <w:szCs w:val="18"/>
              </w:rPr>
              <w:t>Максимальный размер информационных конструкций, указанных в  настоящих Правил, не должен превышать:</w:t>
            </w:r>
          </w:p>
          <w:p>
            <w:pPr>
              <w:pStyle w:val="Normal"/>
              <w:spacing w:lineRule="auto" w:line="240" w:before="0" w:after="0"/>
              <w:ind w:hanging="0"/>
              <w:jc w:val="both"/>
              <w:rPr>
                <w:rFonts w:ascii="Times New Roman" w:hAnsi="Times New Roman"/>
                <w:sz w:val="18"/>
                <w:szCs w:val="18"/>
              </w:rPr>
            </w:pPr>
            <w:bookmarkStart w:id="45" w:name="undefined_Копия_22"/>
            <w:bookmarkEnd w:id="45"/>
            <w:r>
              <w:rPr>
                <w:rFonts w:eastAsia="TimesNewRomanCYR" w:cs="TimesNewRomanCYR" w:ascii="Times New Roman" w:hAnsi="Times New Roman"/>
                <w:sz w:val="18"/>
                <w:szCs w:val="18"/>
              </w:rPr>
              <w:t>-  по высоте - 0,8 метров;</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по длине - 0,6 метров.</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Крайняя точка элементов настенной конструкции не должна находиться на расстоянии более чем 0,2 метра от плоскости фасада.</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При наличии на фасаде здания, строения, сооружения в месте размещения Вывески элементов систем газоснабжения и (или) водоотведения (водосточных труб) размещение настенных конструкций осуществляется при условии обеспечения безопасности указанных систем и обеспечения доступа к ним.</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В случае расположения на одном фасаде здания, строения, сооружения нескольких информационных конструкций указанные конструкции располагаются в одной плоскости относительно вертикальной плоскости фасада, на котором они размещены;</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3) при наличии на фасаде объекта фриза настенная конструкция размещается исключительно на фризе в соответствии со следующими требованиями:</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конструкции настенных Вывесок, допускаемых к размещению на фризе, представляют собой объемные символы (без использования подложки либо с использованием подложки), а также световые короба (в случаях, установленных в );</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при использовании в настенной конструкции, размещаемой на фризе, подложки, указанная подложка размещается на фризе на длину, соответствующую физическим размерам занимаемых соответствующими организациями, индивидуальными предпринимателями помещений. Высота подложки, используемой для размещения настенной конструкции на фризе, равняется высоте фриза. Общая высота информационного поля (текстовой части), а также декоративно-художественных элементов настенной конструкции, размещаемой на фризе в виде объемных символов, допускается не более 70 процентов высоты фриза (с учетом высоты выносных элементов строчных и прописных букв за пределами размера основного шрифта, а также высоты декоративно-художественных элементов), а их длина - не более 70 процентов длины фриза. Объемные символы, используемые в настенной конструкции на фризе, размещаются на единой горизонтальной оси. В случае размещения на одном фризе нескольких настенных конструкций для них допускается организация единой подложки для размещения объемных символов;</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запрещается размещение на одном фризе Вывесок в разном конструктивном исполнении (без использования подложки, с использованием подложки и в виде светового короба и т.п.);</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размещение настенной конструкции (настенных конструкций) в виде светового короба (световых коробов) на фризе допускается только при условии организации данного светового короба (световых коробов) на всю высоту соответствующего фриза;</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при наличии козырька на фасаде объекта настенная конструкция размещается на фризе козырька строго в габаритах указанного фриза;</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запрещается размещение настенной конструкции непосредственно на конструкции козырька;</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4) информационное поле настенных конструкций, размещаемых на фасадах объектов, являющихся объектами культурного наследия, выявленными объектами культурного наследия, должно выполняться из отдельных элементов (букв, обозначений, декоративных элементов и т.д.), без использования подложки в виде непрозрачной основы для их крепления.</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Возможность использования подложки в виде прозрачной основы определяется дизайн-проектом размещения вывески, разработанным и согласованным в соответствии с требованиями  Главы настоящих Правил;</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5) в дополнение к настенной конструкции, размещаемой непосредственно на фасадах зданий, строений, сооружений, допускается размещение вывесок на дверях входных групп, в том числе методом нанесения трафаретной печати или выполнения аппликаций из самоклеящихся пленок на остекление дверей.</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Максимальный размер данных Вывесок не должен превышать:</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по высоте - 0,4 метра;</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по длине - 0,3 метра.</w:t>
            </w:r>
          </w:p>
          <w:p>
            <w:pPr>
              <w:pStyle w:val="ConsPlusNormal"/>
              <w:spacing w:before="0" w:after="0"/>
              <w:jc w:val="both"/>
              <w:rPr>
                <w:rFonts w:ascii="Times New Roman" w:hAnsi="Times New Roman"/>
                <w:sz w:val="18"/>
                <w:szCs w:val="18"/>
              </w:rPr>
            </w:pPr>
            <w:r>
              <w:rPr>
                <w:rFonts w:cs="Times New Roman" w:ascii="Times New Roman" w:hAnsi="Times New Roman"/>
                <w:sz w:val="18"/>
                <w:szCs w:val="18"/>
              </w:rPr>
              <w:t xml:space="preserve">Пп. 8 п. 146. </w:t>
            </w:r>
            <w:r>
              <w:rPr>
                <w:rFonts w:eastAsia="TimesNewRomanCYR" w:cs="TimesNewRomanCYR" w:ascii="Times New Roman" w:hAnsi="Times New Roman"/>
                <w:sz w:val="18"/>
                <w:szCs w:val="18"/>
              </w:rPr>
              <w:t>Организации, индивидуальные предприниматели дополнительно к Вывеске, размещенной на фасаде здания, строения, сооружения, вправе разместить Вывеску на крыше указанного здания, строения, сооружения в соответствии со следующими требованиями:</w:t>
            </w:r>
          </w:p>
          <w:p>
            <w:pPr>
              <w:pStyle w:val="ConsPlusNormal"/>
              <w:spacing w:before="0" w:after="0"/>
              <w:jc w:val="both"/>
              <w:rPr>
                <w:rFonts w:ascii="Times New Roman" w:hAnsi="Times New Roman"/>
                <w:sz w:val="18"/>
                <w:szCs w:val="18"/>
              </w:rPr>
            </w:pPr>
            <w:r>
              <w:rPr>
                <w:rFonts w:eastAsia="TimesNewRomanCYR" w:cs="TimesNewRomanCYR" w:ascii="Times New Roman" w:hAnsi="Times New Roman"/>
                <w:sz w:val="18"/>
                <w:szCs w:val="18"/>
              </w:rPr>
              <w:t>запрещается размещение Вывесок на крышах зданий, строений, сооружений, являющихся объектами культурного наследия, выявленными объектами культурного наследия, за исключением случаев, указанных в  настоящих Правил.</w:t>
            </w:r>
          </w:p>
        </w:tc>
      </w:tr>
      <w:tr>
        <w:trPr>
          <w:trHeight w:val="1517" w:hRule="atLeast"/>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Подраздел 3</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18</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Особенности размещения вывесок в соответствии с дизайн-проектом размещения Вывески</w:t>
            </w:r>
          </w:p>
        </w:tc>
        <w:tc>
          <w:tcPr>
            <w:tcW w:w="8224" w:type="dxa"/>
            <w:tcBorders>
              <w:top w:val="single" w:sz="4" w:space="0" w:color="000000"/>
              <w:left w:val="single" w:sz="4" w:space="0" w:color="000000"/>
              <w:bottom w:val="single" w:sz="4" w:space="0" w:color="000000"/>
              <w:right w:val="single" w:sz="4" w:space="0" w:color="000000"/>
            </w:tcBorders>
          </w:tcPr>
          <w:p>
            <w:pPr>
              <w:pStyle w:val="Style19"/>
              <w:spacing w:lineRule="auto" w:line="240" w:before="0" w:after="0"/>
              <w:ind w:hanging="0" w:left="0" w:right="0"/>
              <w:jc w:val="both"/>
              <w:rPr/>
            </w:pPr>
            <w:r>
              <w:rPr>
                <w:rFonts w:eastAsia="TimesNewRomanCYR" w:cs="TimesNewRomanCYR" w:ascii="Times New Roman" w:hAnsi="Times New Roman"/>
                <w:i w:val="false"/>
                <w:iCs w:val="false"/>
                <w:color w:themeColor="text1" w:val="000000"/>
                <w:sz w:val="18"/>
                <w:szCs w:val="18"/>
                <w:highlight w:val="white"/>
                <w:shd w:fill="F0F0F0" w:val="clear"/>
              </w:rPr>
              <w:t>П. 155 изменен р</w:t>
            </w:r>
            <w:hyperlink r:id="rId25" w:tooltip="http://mobileonline.garant.ru/document/redirect/407604550/20">
              <w:r>
                <w:rPr>
                  <w:rStyle w:val="Style"/>
                  <w:rFonts w:eastAsia="TimesNewRomanCYR" w:cs="TimesNewRomanCYR" w:ascii="Times New Roman" w:hAnsi="Times New Roman"/>
                  <w:b w:val="false"/>
                  <w:i w:val="false"/>
                  <w:iCs w:val="false"/>
                  <w:color w:themeColor="text1" w:val="000000"/>
                  <w:sz w:val="18"/>
                  <w:szCs w:val="18"/>
                  <w:highlight w:val="white"/>
                  <w:shd w:fill="F0F0F0" w:val="clear"/>
                </w:rPr>
                <w:t>ешение</w:t>
              </w:r>
            </w:hyperlink>
            <w:r>
              <w:rPr>
                <w:rFonts w:eastAsia="TimesNewRomanCYR" w:cs="TimesNewRomanCYR" w:ascii="Times New Roman" w:hAnsi="Times New Roman"/>
                <w:i w:val="false"/>
                <w:iCs w:val="false"/>
                <w:color w:themeColor="text1" w:val="000000"/>
                <w:sz w:val="18"/>
                <w:szCs w:val="18"/>
                <w:highlight w:val="white"/>
                <w:shd w:fill="F0F0F0" w:val="clear"/>
              </w:rPr>
              <w:t>м С</w:t>
            </w:r>
            <w:r>
              <w:rPr>
                <w:rFonts w:eastAsia="TimesNewRomanCYR" w:cs="TimesNewRomanCYR" w:ascii="Times New Roman" w:hAnsi="Times New Roman"/>
                <w:i w:val="false"/>
                <w:iCs w:val="false"/>
                <w:color w:themeColor="text1" w:val="000000"/>
                <w:sz w:val="18"/>
                <w:szCs w:val="18"/>
                <w:highlight w:val="white"/>
                <w:shd w:fill="F0F0F0" w:val="clear"/>
              </w:rPr>
              <w:t>Д КГО</w:t>
            </w:r>
            <w:r>
              <w:rPr>
                <w:rFonts w:eastAsia="TimesNewRomanCYR" w:cs="TimesNewRomanCYR" w:ascii="Times New Roman" w:hAnsi="Times New Roman"/>
                <w:i w:val="false"/>
                <w:iCs w:val="false"/>
                <w:color w:themeColor="text1" w:val="000000"/>
                <w:sz w:val="18"/>
                <w:szCs w:val="18"/>
                <w:highlight w:val="white"/>
                <w:shd w:fill="F0F0F0" w:val="clear"/>
              </w:rPr>
              <w:t xml:space="preserve"> от 23.</w:t>
            </w:r>
            <w:r>
              <w:rPr>
                <w:rFonts w:eastAsia="TimesNewRomanCYR" w:cs="TimesNewRomanCYR" w:ascii="Times New Roman" w:hAnsi="Times New Roman"/>
                <w:i w:val="false"/>
                <w:iCs w:val="false"/>
                <w:color w:themeColor="text1" w:val="000000"/>
                <w:sz w:val="18"/>
                <w:szCs w:val="18"/>
                <w:highlight w:val="white"/>
                <w:shd w:fill="F0F0F0" w:val="clear"/>
              </w:rPr>
              <w:t>08.2023</w:t>
            </w:r>
            <w:r>
              <w:rPr>
                <w:rFonts w:eastAsia="TimesNewRomanCYR" w:cs="TimesNewRomanCYR" w:ascii="Times New Roman" w:hAnsi="Times New Roman"/>
                <w:i w:val="false"/>
                <w:iCs w:val="false"/>
                <w:color w:themeColor="text1" w:val="000000"/>
                <w:sz w:val="18"/>
                <w:szCs w:val="18"/>
                <w:highlight w:val="white"/>
                <w:shd w:fill="F0F0F0" w:val="clear"/>
              </w:rPr>
              <w:t xml:space="preserve"> № 841-МО.</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П. 155.  Перечень документов, необходимых для согласования дизайн-проекта размещения Вывески:</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заявление о согласовании дизайн-проекта размещения Вывески на имя начальника УАиГ в 1 экземпляре;</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копия документа, удостоверяющего личность (для физических лиц);</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документ, подтверждающий полномочия представителя заявителя, в копии при предъявлении подлинника;</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копии правоустанавливающих документов, подтверждающих имущественные права заявителя на занимаемое здание, строение, сооружение, помещение, которое является местом фактического нахождения (местом осуществления деятельности) организации, индивидуального предпринимателя, размещающих вывеску.</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В случае размещения Вывесок на внешних поверхностях торговых объектов и комплексов, развлекательных центров представляются копии правоустанавливающих документов, подтверждающих имущественные права на весь объект (все помещения объекта);</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копии правоустанавливающих документов, подтверждающих имущественные права заявителя на земельный участок, на котором расположены здание, строение, сооружение, которые являются местом фактического нахождения (местом осуществления деятельности) организации, индивидуального предпринимателя, размещающих отдельно стоящую Вывеску;</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документы технической инвентаризации - поэтажный план помещения, выданный уполномоченной организацией;</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утвержденный заявителем дизайн-проект Вывески, подготовленный и оформленный в соответствии с  настоящих Правил.</w:t>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Подраздел 4</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19</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Требования к содержанию (обслуживанию) информационных конструкций</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Раздел 2 </w:t>
            </w:r>
            <w:r>
              <w:rPr>
                <w:rFonts w:cs="Times New Roman" w:ascii="Times New Roman" w:hAnsi="Times New Roman"/>
                <w:sz w:val="18"/>
                <w:szCs w:val="18"/>
              </w:rPr>
              <w:t xml:space="preserve">Объекты наружной рекламы, художественное и праздничное оформление городского округа </w:t>
            </w:r>
          </w:p>
          <w:p>
            <w:pPr>
              <w:pStyle w:val="ConsPlusNormal"/>
              <w:spacing w:before="0" w:after="0"/>
              <w:rPr>
                <w:rFonts w:ascii="Times New Roman" w:hAnsi="Times New Roman" w:cs="Times New Roman"/>
                <w:sz w:val="18"/>
                <w:szCs w:val="18"/>
                <w:highlight w:val="none"/>
              </w:rPr>
            </w:pPr>
            <w:r>
              <w:rPr>
                <w:rFonts w:cs="Times New Roman" w:ascii="Times New Roman" w:hAnsi="Times New Roman"/>
                <w:sz w:val="18"/>
                <w:szCs w:val="18"/>
              </w:rPr>
              <w:t>Подраздел 1</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20</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Рекламные конструкции</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Подраздел 2</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21</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Особенности размещения рекламных конструкций на ограждениях строительных площадок</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Раздел 3 </w:t>
            </w:r>
            <w:r>
              <w:rPr>
                <w:rFonts w:cs="Times New Roman" w:ascii="Times New Roman" w:hAnsi="Times New Roman"/>
                <w:sz w:val="18"/>
                <w:szCs w:val="18"/>
              </w:rPr>
              <w:t>Дорожные знаки, светофорное хозяйство</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22</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Дорожные знаки, светофорное хозяйство</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rHeight w:val="1014" w:hRule="atLeast"/>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Раздел 4 </w:t>
            </w:r>
            <w:r>
              <w:rPr>
                <w:rFonts w:eastAsia="Times New Roman" w:cs="Times New Roman" w:ascii="Times New Roman" w:hAnsi="Times New Roman"/>
                <w:sz w:val="18"/>
                <w:szCs w:val="18"/>
              </w:rPr>
              <w:t>Наружное освещение</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23</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Наружное освещение</w:t>
            </w:r>
          </w:p>
        </w:tc>
        <w:tc>
          <w:tcPr>
            <w:tcW w:w="8224" w:type="dxa"/>
            <w:tcBorders>
              <w:top w:val="single" w:sz="4" w:space="0" w:color="000000"/>
              <w:left w:val="single" w:sz="4" w:space="0" w:color="000000"/>
              <w:bottom w:val="single" w:sz="4" w:space="0" w:color="000000"/>
              <w:right w:val="single" w:sz="4" w:space="0" w:color="000000"/>
            </w:tcBorders>
          </w:tcPr>
          <w:p>
            <w:pPr>
              <w:pStyle w:val="Style19"/>
              <w:spacing w:lineRule="auto" w:line="240" w:before="0" w:after="0"/>
              <w:ind w:hanging="0" w:left="0" w:right="0"/>
              <w:jc w:val="both"/>
              <w:rPr>
                <w:rFonts w:ascii="Times New Roman" w:hAnsi="Times New Roman"/>
                <w:sz w:val="20"/>
                <w:szCs w:val="20"/>
              </w:rPr>
            </w:pPr>
            <w:r>
              <w:rPr>
                <w:rFonts w:eastAsia="TimesNewRomanCYR" w:cs="TimesNewRomanCYR" w:ascii="Times New Roman" w:hAnsi="Times New Roman"/>
                <w:i w:val="false"/>
                <w:iCs w:val="false"/>
                <w:color w:themeColor="text1" w:val="000000"/>
                <w:sz w:val="18"/>
                <w:szCs w:val="18"/>
                <w:highlight w:val="white"/>
                <w:shd w:fill="F0F0F0" w:val="clear"/>
              </w:rPr>
              <w:t>П. 197 изменен р</w:t>
            </w:r>
            <w:hyperlink r:id="rId26" w:tooltip="http://mobileonline.garant.ru/document/redirect/407604550/20">
              <w:r>
                <w:rPr>
                  <w:rStyle w:val="Style"/>
                  <w:rFonts w:eastAsia="TimesNewRomanCYR" w:cs="TimesNewRomanCYR" w:ascii="Times New Roman" w:hAnsi="Times New Roman"/>
                  <w:b w:val="false"/>
                  <w:i w:val="false"/>
                  <w:iCs w:val="false"/>
                  <w:color w:themeColor="text1" w:val="000000"/>
                  <w:sz w:val="18"/>
                  <w:szCs w:val="18"/>
                  <w:highlight w:val="white"/>
                  <w:shd w:fill="F0F0F0" w:val="clear"/>
                </w:rPr>
                <w:t>ешение</w:t>
              </w:r>
            </w:hyperlink>
            <w:r>
              <w:rPr>
                <w:rFonts w:eastAsia="TimesNewRomanCYR" w:cs="TimesNewRomanCYR" w:ascii="Times New Roman" w:hAnsi="Times New Roman"/>
                <w:i w:val="false"/>
                <w:iCs w:val="false"/>
                <w:color w:themeColor="text1" w:val="000000"/>
                <w:sz w:val="18"/>
                <w:szCs w:val="18"/>
                <w:highlight w:val="white"/>
                <w:shd w:fill="F0F0F0" w:val="clear"/>
              </w:rPr>
              <w:t>м С</w:t>
            </w:r>
            <w:r>
              <w:rPr>
                <w:rFonts w:eastAsia="TimesNewRomanCYR" w:cs="TimesNewRomanCYR" w:ascii="Times New Roman" w:hAnsi="Times New Roman"/>
                <w:i w:val="false"/>
                <w:iCs w:val="false"/>
                <w:color w:themeColor="text1" w:val="000000"/>
                <w:sz w:val="18"/>
                <w:szCs w:val="18"/>
                <w:highlight w:val="white"/>
                <w:shd w:fill="F0F0F0" w:val="clear"/>
              </w:rPr>
              <w:t>Д КГО</w:t>
            </w:r>
            <w:r>
              <w:rPr>
                <w:rFonts w:eastAsia="TimesNewRomanCYR" w:cs="TimesNewRomanCYR" w:ascii="Times New Roman" w:hAnsi="Times New Roman"/>
                <w:i w:val="false"/>
                <w:iCs w:val="false"/>
                <w:color w:themeColor="text1" w:val="000000"/>
                <w:sz w:val="18"/>
                <w:szCs w:val="18"/>
                <w:highlight w:val="white"/>
                <w:shd w:fill="F0F0F0" w:val="clear"/>
              </w:rPr>
              <w:t xml:space="preserve"> от 23.</w:t>
            </w:r>
            <w:r>
              <w:rPr>
                <w:rFonts w:eastAsia="TimesNewRomanCYR" w:cs="TimesNewRomanCYR" w:ascii="Times New Roman" w:hAnsi="Times New Roman"/>
                <w:i w:val="false"/>
                <w:iCs w:val="false"/>
                <w:color w:themeColor="text1" w:val="000000"/>
                <w:sz w:val="18"/>
                <w:szCs w:val="18"/>
                <w:highlight w:val="white"/>
                <w:shd w:fill="F0F0F0" w:val="clear"/>
              </w:rPr>
              <w:t>08.2023</w:t>
            </w:r>
            <w:r>
              <w:rPr>
                <w:rFonts w:eastAsia="TimesNewRomanCYR" w:cs="TimesNewRomanCYR" w:ascii="Times New Roman" w:hAnsi="Times New Roman"/>
                <w:i w:val="false"/>
                <w:iCs w:val="false"/>
                <w:color w:themeColor="text1" w:val="000000"/>
                <w:sz w:val="18"/>
                <w:szCs w:val="18"/>
                <w:highlight w:val="white"/>
                <w:shd w:fill="F0F0F0" w:val="clear"/>
              </w:rPr>
              <w:t xml:space="preserve"> № 841-МО.</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П. 197.  Монтаж и эксплуатация линий уличного освещения и элементов праздничной подсветки (иллюминации) улиц, проспектов и площадей города осуществляются специализированной энергетической организацией в соответствии с требованиями законодательства.</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Монтаж и эксплуатация установок архитектурно-художественного освещения и праздничной подсветки отдельных зданий и сооружений осуществляется собственником (арендатором) здания либо специализированной организацией, привлекаемой собственником (арендатором) по договору.</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Эксплуатация наружного освещения осуществляется в соответствии с техническими требованиями, установленными законодательством.</w:t>
            </w:r>
          </w:p>
          <w:p>
            <w:pPr>
              <w:pStyle w:val="Normal"/>
              <w:spacing w:lineRule="auto" w:line="240" w:before="0" w:after="0"/>
              <w:ind w:hanging="0"/>
              <w:jc w:val="both"/>
              <w:rPr/>
            </w:pPr>
            <w:bookmarkStart w:id="46" w:name="undefined_Копия_23"/>
            <w:bookmarkEnd w:id="46"/>
            <w:r>
              <w:rPr>
                <w:rFonts w:eastAsia="TimesNewRomanCYR" w:cs="TimesNewRomanCYR" w:ascii="Times New Roman" w:hAnsi="Times New Roman"/>
                <w:sz w:val="18"/>
                <w:szCs w:val="18"/>
              </w:rPr>
              <w:t xml:space="preserve">Каждый объект наружного освещения должен иметь рабочий проект и исполнительную документацию. Проектирование объектов наружного освещения, а также контроль за их состоянием в процессе эксплуатации осуществляются в соответствии с требованиями Свода правил </w:t>
            </w:r>
            <w:hyperlink r:id="rId27" w:tooltip="http://mobileonline.garant.ru/document/redirect/71692340/0">
              <w:r>
                <w:rPr>
                  <w:rStyle w:val="Style"/>
                  <w:rFonts w:eastAsia="TimesNewRomanCYR" w:cs="TimesNewRomanCYR" w:ascii="Times New Roman" w:hAnsi="Times New Roman"/>
                  <w:b w:val="false"/>
                  <w:color w:themeColor="text1" w:val="000000"/>
                  <w:sz w:val="18"/>
                  <w:szCs w:val="18"/>
                </w:rPr>
                <w:t>СП 52.13330.2016</w:t>
              </w:r>
            </w:hyperlink>
            <w:r>
              <w:rPr>
                <w:rFonts w:eastAsia="TimesNewRomanCYR" w:cs="TimesNewRomanCYR" w:ascii="Times New Roman" w:hAnsi="Times New Roman"/>
                <w:sz w:val="18"/>
                <w:szCs w:val="18"/>
              </w:rPr>
              <w:t xml:space="preserve"> "Естественное и искусственное освещение. Актуализированная редакция СНиП 23-05-95*" с учетом обеспечения:</w:t>
            </w:r>
          </w:p>
          <w:p>
            <w:pPr>
              <w:pStyle w:val="Normal"/>
              <w:spacing w:lineRule="auto" w:line="240" w:before="0" w:after="0"/>
              <w:ind w:hanging="0"/>
              <w:jc w:val="both"/>
              <w:rPr>
                <w:rFonts w:ascii="Times New Roman" w:hAnsi="Times New Roman"/>
                <w:sz w:val="18"/>
                <w:szCs w:val="18"/>
              </w:rPr>
            </w:pPr>
            <w:bookmarkStart w:id="47" w:name="undefined_Копия_23"/>
            <w:bookmarkEnd w:id="47"/>
            <w:r>
              <w:rPr>
                <w:rFonts w:eastAsia="TimesNewRomanCYR" w:cs="TimesNewRomanCYR" w:ascii="Times New Roman" w:hAnsi="Times New Roman"/>
                <w:sz w:val="18"/>
                <w:szCs w:val="18"/>
              </w:rPr>
              <w:t>1) экономичности и энергоэффективности применяемых установок, рационального распределения и использования электроэнергии;</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2) эстетики элементов осветительных установок, их дизайна, качества материалов и изделий при их восприятии в дневное и ночное время.</w:t>
            </w:r>
          </w:p>
        </w:tc>
      </w:tr>
      <w:tr>
        <w:trPr/>
        <w:tc>
          <w:tcPr>
            <w:tcW w:w="2507" w:type="dxa"/>
            <w:gridSpan w:val="2"/>
            <w:vMerge w:val="continue"/>
            <w:tcBorders>
              <w:top w:val="single" w:sz="4" w:space="0" w:color="000000"/>
              <w:left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Раздел 5</w:t>
            </w:r>
          </w:p>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Малые архитектурные формы</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24</w:t>
            </w:r>
          </w:p>
        </w:tc>
        <w:tc>
          <w:tcPr>
            <w:tcW w:w="1810"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eastAsia="Times New Roman" w:cs="Times New Roman" w:ascii="Times New Roman" w:hAnsi="Times New Roman"/>
                <w:sz w:val="18"/>
                <w:szCs w:val="18"/>
              </w:rPr>
              <w:t>Малые архитектурные формы</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restart"/>
            <w:tcBorders>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Раздел 6 Зеленые насаждения</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25</w:t>
            </w:r>
          </w:p>
        </w:tc>
        <w:tc>
          <w:tcPr>
            <w:tcW w:w="1810"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eastAsia="Times New Roman" w:cs="Times New Roman" w:ascii="Times New Roman" w:hAnsi="Times New Roman"/>
                <w:sz w:val="18"/>
                <w:szCs w:val="18"/>
              </w:rPr>
              <w:t>Зеленые насаждения</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Раздел 7 </w:t>
            </w:r>
            <w:r>
              <w:rPr>
                <w:rFonts w:eastAsia="Times New Roman" w:cs="Times New Roman" w:ascii="Times New Roman" w:hAnsi="Times New Roman"/>
                <w:sz w:val="18"/>
                <w:szCs w:val="18"/>
              </w:rPr>
              <w:t>Фонтаны</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26</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Фонтаны</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Раздел 8 </w:t>
            </w:r>
            <w:r>
              <w:rPr>
                <w:rFonts w:eastAsia="Times New Roman" w:cs="Times New Roman" w:ascii="Times New Roman" w:hAnsi="Times New Roman"/>
                <w:sz w:val="18"/>
                <w:szCs w:val="18"/>
              </w:rPr>
              <w:t>Мемориальные объекты, памятники монументального искусства, архитектурно-художественные композиции</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27</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Мемориальные объекты, памятники монументального искусства, архитектурно-художественные композиции</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Раздел 9 </w:t>
            </w:r>
            <w:r>
              <w:rPr>
                <w:rFonts w:eastAsia="Times New Roman" w:cs="Times New Roman" w:ascii="Times New Roman" w:hAnsi="Times New Roman"/>
                <w:sz w:val="18"/>
                <w:szCs w:val="18"/>
              </w:rPr>
              <w:t>Таксофоны, банкоматы, платежные терминалы</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28</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Таксофоны, банкоматы, платежные терминалы</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Раздел 10 </w:t>
            </w:r>
            <w:r>
              <w:rPr>
                <w:rFonts w:eastAsia="Times New Roman" w:cs="Times New Roman" w:ascii="Times New Roman" w:hAnsi="Times New Roman"/>
                <w:sz w:val="18"/>
                <w:szCs w:val="18"/>
              </w:rPr>
              <w:t>Общественные туалеты</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29</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Общественные туалеты</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Раздел 11 </w:t>
            </w:r>
            <w:r>
              <w:rPr>
                <w:rFonts w:eastAsia="Times New Roman" w:cs="Times New Roman" w:ascii="Times New Roman" w:hAnsi="Times New Roman"/>
                <w:sz w:val="18"/>
                <w:szCs w:val="18"/>
              </w:rPr>
              <w:t>Площадки для выгула собак</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30</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Площадки для выгула собак</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Раздел 12 </w:t>
            </w:r>
            <w:r>
              <w:rPr>
                <w:rFonts w:eastAsia="Times New Roman" w:cs="Times New Roman" w:ascii="Times New Roman" w:hAnsi="Times New Roman"/>
                <w:sz w:val="18"/>
                <w:szCs w:val="18"/>
              </w:rPr>
              <w:t>Ограждения</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31</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Ограждения</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Раздел 13 </w:t>
            </w:r>
            <w:r>
              <w:rPr>
                <w:rFonts w:eastAsia="Times New Roman" w:cs="Times New Roman" w:ascii="Times New Roman" w:hAnsi="Times New Roman"/>
                <w:sz w:val="18"/>
                <w:szCs w:val="18"/>
              </w:rPr>
              <w:t>Уличное искусство (стрит-арт; граффити)</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32</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Уличное искусство (стрит-арт; граффити)</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Глава VI. </w:t>
            </w:r>
            <w:r>
              <w:rPr>
                <w:rFonts w:eastAsia="Times New Roman" w:cs="Times New Roman" w:ascii="Times New Roman" w:hAnsi="Times New Roman"/>
                <w:sz w:val="18"/>
                <w:szCs w:val="18"/>
              </w:rPr>
              <w:t>Организация передвижения машин и механизмов на территории городского округа</w:t>
            </w:r>
          </w:p>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Раздел 1 Гостевые маршруты</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33</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Организация передвижения машин и механизмов на территории городского округа</w:t>
            </w:r>
          </w:p>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Гостевые маршруты</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jc w:val="both"/>
              <w:rPr>
                <w:rFonts w:cs="Times New Roman"/>
              </w:rPr>
            </w:pPr>
            <w:r>
              <w:rPr>
                <w:rFonts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Подраздел 1</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34</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Остановочные пункты (остановочный павильон, остановочный комплекс)</w:t>
            </w:r>
          </w:p>
        </w:tc>
        <w:tc>
          <w:tcPr>
            <w:tcW w:w="8224" w:type="dxa"/>
            <w:tcBorders>
              <w:top w:val="single" w:sz="4" w:space="0" w:color="000000"/>
              <w:left w:val="single" w:sz="4" w:space="0" w:color="000000"/>
              <w:bottom w:val="single" w:sz="4" w:space="0" w:color="000000"/>
              <w:right w:val="single" w:sz="4" w:space="0" w:color="000000"/>
            </w:tcBorders>
          </w:tcPr>
          <w:p>
            <w:pPr>
              <w:pStyle w:val="Style19"/>
              <w:spacing w:lineRule="auto" w:line="240" w:before="0" w:after="0"/>
              <w:ind w:hanging="0" w:left="0" w:right="0"/>
              <w:jc w:val="both"/>
              <w:rPr/>
            </w:pPr>
            <w:r>
              <w:rPr>
                <w:rFonts w:eastAsia="TimesNewRomanCYR" w:cs="TimesNewRomanCYR" w:ascii="Times New Roman" w:hAnsi="Times New Roman"/>
                <w:i w:val="false"/>
                <w:iCs w:val="false"/>
                <w:color w:themeColor="text1" w:val="000000"/>
                <w:sz w:val="18"/>
                <w:szCs w:val="18"/>
                <w:highlight w:val="white"/>
                <w:shd w:fill="F0F0F0" w:val="clear"/>
              </w:rPr>
              <w:t>П. 266, 269 изменены р</w:t>
            </w:r>
            <w:hyperlink r:id="rId28" w:tooltip="http://mobileonline.garant.ru/document/redirect/407604550/20">
              <w:r>
                <w:rPr>
                  <w:rStyle w:val="Style"/>
                  <w:rFonts w:eastAsia="TimesNewRomanCYR" w:cs="TimesNewRomanCYR" w:ascii="Times New Roman" w:hAnsi="Times New Roman"/>
                  <w:b w:val="false"/>
                  <w:i w:val="false"/>
                  <w:iCs w:val="false"/>
                  <w:color w:themeColor="text1" w:val="000000"/>
                  <w:sz w:val="18"/>
                  <w:szCs w:val="18"/>
                  <w:highlight w:val="white"/>
                  <w:shd w:fill="F0F0F0" w:val="clear"/>
                </w:rPr>
                <w:t>ешение</w:t>
              </w:r>
            </w:hyperlink>
            <w:r>
              <w:rPr>
                <w:rFonts w:eastAsia="TimesNewRomanCYR" w:cs="TimesNewRomanCYR" w:ascii="Times New Roman" w:hAnsi="Times New Roman"/>
                <w:i w:val="false"/>
                <w:iCs w:val="false"/>
                <w:color w:themeColor="text1" w:val="000000"/>
                <w:sz w:val="18"/>
                <w:szCs w:val="18"/>
                <w:highlight w:val="white"/>
                <w:shd w:fill="F0F0F0" w:val="clear"/>
              </w:rPr>
              <w:t>м С</w:t>
            </w:r>
            <w:r>
              <w:rPr>
                <w:rFonts w:eastAsia="TimesNewRomanCYR" w:cs="TimesNewRomanCYR" w:ascii="Times New Roman" w:hAnsi="Times New Roman"/>
                <w:i w:val="false"/>
                <w:iCs w:val="false"/>
                <w:color w:themeColor="text1" w:val="000000"/>
                <w:sz w:val="18"/>
                <w:szCs w:val="18"/>
                <w:highlight w:val="white"/>
                <w:shd w:fill="F0F0F0" w:val="clear"/>
              </w:rPr>
              <w:t>Д КГО</w:t>
            </w:r>
            <w:r>
              <w:rPr>
                <w:rFonts w:eastAsia="TimesNewRomanCYR" w:cs="TimesNewRomanCYR" w:ascii="Times New Roman" w:hAnsi="Times New Roman"/>
                <w:i w:val="false"/>
                <w:iCs w:val="false"/>
                <w:color w:themeColor="text1" w:val="000000"/>
                <w:sz w:val="18"/>
                <w:szCs w:val="18"/>
                <w:highlight w:val="white"/>
                <w:shd w:fill="F0F0F0" w:val="clear"/>
              </w:rPr>
              <w:t xml:space="preserve"> от 23.</w:t>
            </w:r>
            <w:r>
              <w:rPr>
                <w:rFonts w:eastAsia="TimesNewRomanCYR" w:cs="TimesNewRomanCYR" w:ascii="Times New Roman" w:hAnsi="Times New Roman"/>
                <w:i w:val="false"/>
                <w:iCs w:val="false"/>
                <w:color w:themeColor="text1" w:val="000000"/>
                <w:sz w:val="18"/>
                <w:szCs w:val="18"/>
                <w:highlight w:val="white"/>
                <w:shd w:fill="F0F0F0" w:val="clear"/>
              </w:rPr>
              <w:t>08.2023</w:t>
            </w:r>
            <w:r>
              <w:rPr>
                <w:rFonts w:eastAsia="TimesNewRomanCYR" w:cs="TimesNewRomanCYR" w:ascii="Times New Roman" w:hAnsi="Times New Roman"/>
                <w:i w:val="false"/>
                <w:iCs w:val="false"/>
                <w:color w:themeColor="text1" w:val="000000"/>
                <w:sz w:val="18"/>
                <w:szCs w:val="18"/>
                <w:highlight w:val="white"/>
                <w:shd w:fill="F0F0F0" w:val="clear"/>
              </w:rPr>
              <w:t xml:space="preserve"> № 841-МО.</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П. 266. Автопавильон и остановочный комплекс должны быть оборудованы:</w:t>
            </w:r>
          </w:p>
          <w:p>
            <w:pPr>
              <w:pStyle w:val="Normal"/>
              <w:spacing w:lineRule="auto" w:line="240" w:before="0" w:after="0"/>
              <w:ind w:hanging="0"/>
              <w:jc w:val="both"/>
              <w:rPr/>
            </w:pPr>
            <w:r>
              <w:rPr>
                <w:rFonts w:eastAsia="TimesNewRomanCYR" w:cs="TimesNewRomanCYR" w:ascii="Times New Roman" w:hAnsi="Times New Roman"/>
                <w:b w:val="false"/>
                <w:color w:val="000000"/>
                <w:sz w:val="18"/>
                <w:szCs w:val="18"/>
                <w:shd w:fill="D8EDE8" w:val="clear"/>
              </w:rPr>
              <w:t>-</w:t>
            </w:r>
            <w:r>
              <w:rPr>
                <w:rFonts w:eastAsia="TimesNewRomanCYR" w:cs="TimesNewRomanCYR" w:ascii="Times New Roman" w:hAnsi="Times New Roman"/>
                <w:sz w:val="18"/>
                <w:szCs w:val="18"/>
              </w:rPr>
              <w:t xml:space="preserve"> дорожными информационно-указательными знаками, обозначающими место остановки транспортных средств (в соответствии с </w:t>
            </w:r>
            <w:hyperlink r:id="rId29" w:tooltip="http://mobileonline.garant.ru/document/redirect/1305770/0">
              <w:r>
                <w:rPr>
                  <w:rStyle w:val="Style"/>
                  <w:rFonts w:eastAsia="TimesNewRomanCYR" w:cs="TimesNewRomanCYR" w:ascii="Times New Roman" w:hAnsi="Times New Roman"/>
                  <w:b w:val="false"/>
                  <w:color w:themeColor="text1" w:val="000000"/>
                  <w:sz w:val="18"/>
                  <w:szCs w:val="18"/>
                </w:rPr>
                <w:t>Правилами</w:t>
              </w:r>
            </w:hyperlink>
            <w:r>
              <w:rPr>
                <w:rFonts w:eastAsia="TimesNewRomanCYR" w:cs="TimesNewRomanCYR" w:ascii="Times New Roman" w:hAnsi="Times New Roman"/>
                <w:sz w:val="18"/>
                <w:szCs w:val="18"/>
              </w:rPr>
              <w:t xml:space="preserve"> дорожного движения Российской Федерации);</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местами для крепления указателей остановки маршрутов транспорта;</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местами для сидения пассажиров: скамьи размещаются внутри павильона ожидания;</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урнами для мусора, которые размещают с внешней боковой стенки (границы) павильона ожидания;</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остекленными информационными щитами, размерами не менее 0,7 x 0,8 метров, для размещения информации о работе городского пассажирского транспорта. Возможно размещение щитов размерами 1,2 x 1,8 метров для рекламно-информационных материалов;</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вывеской с наименованием юридического лица (индивидуального предпринимателя), местом его нахождения, режимом работы (для остановочного комплекса);</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вывеской, имеющей внутреннюю подсветку, с наименованием остановочного пункта (для остановочного комплекса);</w:t>
            </w:r>
          </w:p>
          <w:p>
            <w:pPr>
              <w:pStyle w:val="Normal"/>
              <w:spacing w:lineRule="auto" w:line="240" w:before="0" w:after="0"/>
              <w:ind w:hanging="0"/>
              <w:jc w:val="both"/>
              <w:rPr/>
            </w:pPr>
            <w:bookmarkStart w:id="48" w:name="undefined_Копия_24"/>
            <w:bookmarkEnd w:id="48"/>
            <w:r>
              <w:rPr>
                <w:rFonts w:eastAsia="TimesNewRomanCYR" w:cs="TimesNewRomanCYR" w:ascii="Times New Roman" w:hAnsi="Times New Roman"/>
                <w:sz w:val="18"/>
                <w:szCs w:val="18"/>
              </w:rPr>
              <w:t xml:space="preserve">- электрическим освещением: нормы освещения должны соответствовать требованиям правил </w:t>
            </w:r>
            <w:hyperlink r:id="rId30" w:tooltip="http://mobileonline.garant.ru/document/redirect/71692340/0">
              <w:r>
                <w:rPr>
                  <w:rStyle w:val="Style"/>
                  <w:rFonts w:eastAsia="TimesNewRomanCYR" w:cs="TimesNewRomanCYR" w:ascii="Times New Roman" w:hAnsi="Times New Roman"/>
                  <w:b w:val="false"/>
                  <w:color w:themeColor="text1" w:val="000000"/>
                  <w:sz w:val="18"/>
                  <w:szCs w:val="18"/>
                </w:rPr>
                <w:t>СП 52.13330.2016</w:t>
              </w:r>
            </w:hyperlink>
            <w:r>
              <w:rPr>
                <w:rFonts w:eastAsia="TimesNewRomanCYR" w:cs="TimesNewRomanCYR" w:ascii="Times New Roman" w:hAnsi="Times New Roman"/>
                <w:color w:themeColor="text1" w:val="000000"/>
                <w:sz w:val="18"/>
                <w:szCs w:val="18"/>
              </w:rPr>
              <w:t xml:space="preserve"> "Естественное и искусственное освещение. Актуализированная редакция СНиП 23-05-95*". Состояние осветительных установок - требованиям </w:t>
            </w:r>
            <w:hyperlink r:id="rId31" w:tooltip="http://mobileonline.garant.ru/document/redirect/71863360/0">
              <w:r>
                <w:rPr>
                  <w:rStyle w:val="Style"/>
                  <w:rFonts w:eastAsia="TimesNewRomanCYR" w:cs="TimesNewRomanCYR" w:ascii="Times New Roman" w:hAnsi="Times New Roman"/>
                  <w:b w:val="false"/>
                  <w:color w:themeColor="text1" w:val="000000"/>
                  <w:sz w:val="18"/>
                  <w:szCs w:val="18"/>
                </w:rPr>
                <w:t>ГОСТ Р50597-2017</w:t>
              </w:r>
            </w:hyperlink>
            <w:r>
              <w:rPr>
                <w:rFonts w:eastAsia="TimesNewRomanCYR" w:cs="TimesNewRomanCYR" w:ascii="Times New Roman" w:hAnsi="Times New Roman"/>
                <w:color w:themeColor="text1" w:val="000000"/>
                <w:sz w:val="18"/>
                <w:szCs w:val="18"/>
              </w:rPr>
              <w:t xml:space="preserve">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 </w:t>
            </w:r>
            <w:hyperlink r:id="rId32" w:tooltip="http://mobileonline.garant.ru/document/redirect/71820718/0">
              <w:r>
                <w:rPr>
                  <w:rStyle w:val="Style"/>
                  <w:rFonts w:eastAsia="TimesNewRomanCYR" w:cs="TimesNewRomanCYR" w:ascii="Times New Roman" w:hAnsi="Times New Roman"/>
                  <w:b w:val="false"/>
                  <w:color w:themeColor="text1" w:val="000000"/>
                  <w:sz w:val="18"/>
                  <w:szCs w:val="18"/>
                </w:rPr>
                <w:t>Приказом</w:t>
              </w:r>
            </w:hyperlink>
            <w:r>
              <w:rPr>
                <w:rFonts w:eastAsia="TimesNewRomanCYR" w:cs="TimesNewRomanCYR" w:ascii="Times New Roman" w:hAnsi="Times New Roman"/>
                <w:color w:themeColor="text1" w:val="000000"/>
                <w:sz w:val="18"/>
                <w:szCs w:val="18"/>
              </w:rPr>
              <w:t xml:space="preserve"> Росстандарта от 26.09.2017 N 1245-</w:t>
            </w:r>
            <w:r>
              <w:rPr>
                <w:rFonts w:eastAsia="TimesNewRomanCYR" w:cs="TimesNewRomanCYR" w:ascii="Times New Roman" w:hAnsi="Times New Roman"/>
                <w:sz w:val="18"/>
                <w:szCs w:val="18"/>
              </w:rPr>
              <w:t>ст).</w:t>
            </w:r>
          </w:p>
          <w:p>
            <w:pPr>
              <w:pStyle w:val="Normal"/>
              <w:spacing w:lineRule="auto" w:line="240" w:before="0" w:after="0"/>
              <w:ind w:hanging="0"/>
              <w:jc w:val="both"/>
              <w:rPr>
                <w:rFonts w:ascii="Times New Roman" w:hAnsi="Times New Roman"/>
                <w:sz w:val="18"/>
                <w:szCs w:val="18"/>
              </w:rPr>
            </w:pPr>
            <w:bookmarkStart w:id="49" w:name="undefined_Копия_24"/>
            <w:bookmarkEnd w:id="49"/>
            <w:r>
              <w:rPr>
                <w:rFonts w:eastAsia="TimesNewRomanCYR" w:cs="TimesNewRomanCYR" w:ascii="Times New Roman" w:hAnsi="Times New Roman"/>
                <w:sz w:val="18"/>
                <w:szCs w:val="18"/>
              </w:rPr>
              <w:t>Вывески, реклама, таблички не должны мешать пассажирам и водителям в правильной оценке дорожной ситуации в районе ОП.</w:t>
            </w:r>
          </w:p>
          <w:p>
            <w:pPr>
              <w:pStyle w:val="ConsPlusNormal"/>
              <w:spacing w:before="0" w:after="0"/>
              <w:jc w:val="both"/>
              <w:rPr/>
            </w:pPr>
            <w:r>
              <w:rPr>
                <w:rFonts w:cs="Times New Roman" w:ascii="Times New Roman" w:hAnsi="Times New Roman"/>
                <w:sz w:val="18"/>
                <w:szCs w:val="18"/>
              </w:rPr>
              <w:t xml:space="preserve">П. 269. </w:t>
            </w:r>
            <w:r>
              <w:rPr>
                <w:rFonts w:eastAsia="TimesNewRomanCYR" w:cs="TimesNewRomanCYR" w:ascii="Times New Roman" w:hAnsi="Times New Roman"/>
                <w:color w:themeColor="text1" w:val="000000"/>
                <w:sz w:val="18"/>
                <w:szCs w:val="18"/>
              </w:rPr>
              <w:t xml:space="preserve">Входы в остановочные павильоны и остановочные комплексы должны быть адаптированы для маломобильных групп населения, основные пути передвижения по территории, прилегающей к входу, должны соответствовать требованиям Свода правил </w:t>
            </w:r>
            <w:hyperlink r:id="rId33" w:tooltip="http://mobileonline.garant.ru/document/redirect/400382837/0">
              <w:r>
                <w:rPr>
                  <w:rStyle w:val="Style"/>
                  <w:rFonts w:eastAsia="TimesNewRomanCYR" w:cs="TimesNewRomanCYR" w:ascii="Times New Roman" w:hAnsi="Times New Roman"/>
                  <w:b w:val="false"/>
                  <w:color w:themeColor="text1" w:val="000000"/>
                  <w:sz w:val="18"/>
                  <w:szCs w:val="18"/>
                </w:rPr>
                <w:t>СП 59.13330.2020</w:t>
              </w:r>
            </w:hyperlink>
            <w:r>
              <w:rPr>
                <w:rFonts w:eastAsia="TimesNewRomanCYR" w:cs="TimesNewRomanCYR" w:ascii="Times New Roman" w:hAnsi="Times New Roman"/>
                <w:color w:themeColor="text1" w:val="000000"/>
                <w:sz w:val="18"/>
                <w:szCs w:val="18"/>
              </w:rPr>
              <w:t xml:space="preserve"> "СНиП 35-01-2001 Доступность зданий и сооружений для маломобильных групп населения".</w:t>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Подраздел 2</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35</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Требования к содержанию остановочных павильонов и остановочных комплексов</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Подраздел 3</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36</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Торговые павильоны, киоски</w:t>
            </w:r>
          </w:p>
        </w:tc>
        <w:tc>
          <w:tcPr>
            <w:tcW w:w="8224" w:type="dxa"/>
            <w:tcBorders>
              <w:top w:val="single" w:sz="4" w:space="0" w:color="000000"/>
              <w:left w:val="single" w:sz="4" w:space="0" w:color="000000"/>
              <w:bottom w:val="single" w:sz="4" w:space="0" w:color="000000"/>
              <w:right w:val="single" w:sz="4" w:space="0" w:color="000000"/>
            </w:tcBorders>
          </w:tcPr>
          <w:p>
            <w:pPr>
              <w:pStyle w:val="Style19"/>
              <w:spacing w:lineRule="auto" w:line="240" w:before="0" w:after="0"/>
              <w:ind w:hanging="0" w:left="0" w:right="0"/>
              <w:jc w:val="both"/>
              <w:rPr/>
            </w:pPr>
            <w:r>
              <w:rPr>
                <w:rFonts w:eastAsia="TimesNewRomanCYR" w:cs="TimesNewRomanCYR" w:ascii="Times New Roman" w:hAnsi="Times New Roman"/>
                <w:i w:val="false"/>
                <w:iCs w:val="false"/>
                <w:color w:val="000000"/>
                <w:sz w:val="18"/>
                <w:szCs w:val="18"/>
                <w:highlight w:val="white"/>
                <w:shd w:fill="F0F0F0" w:val="clear"/>
              </w:rPr>
              <w:t xml:space="preserve">П. 283, 285 изменены </w:t>
            </w:r>
            <w:r>
              <w:rPr>
                <w:rFonts w:eastAsia="TimesNewRomanCYR" w:cs="TimesNewRomanCYR" w:ascii="Times New Roman" w:hAnsi="Times New Roman"/>
                <w:i w:val="false"/>
                <w:iCs w:val="false"/>
                <w:color w:themeColor="text1" w:val="000000"/>
                <w:sz w:val="18"/>
                <w:szCs w:val="18"/>
                <w:highlight w:val="white"/>
                <w:shd w:fill="F0F0F0" w:val="clear"/>
              </w:rPr>
              <w:t>р</w:t>
            </w:r>
            <w:hyperlink r:id="rId34" w:tooltip="http://mobileonline.garant.ru/document/redirect/407604550/20">
              <w:r>
                <w:rPr>
                  <w:rStyle w:val="Style"/>
                  <w:rFonts w:eastAsia="TimesNewRomanCYR" w:cs="TimesNewRomanCYR" w:ascii="Times New Roman" w:hAnsi="Times New Roman"/>
                  <w:b w:val="false"/>
                  <w:i w:val="false"/>
                  <w:iCs w:val="false"/>
                  <w:color w:themeColor="text1" w:val="000000"/>
                  <w:sz w:val="18"/>
                  <w:szCs w:val="18"/>
                  <w:highlight w:val="white"/>
                  <w:shd w:fill="F0F0F0" w:val="clear"/>
                </w:rPr>
                <w:t>ешение</w:t>
              </w:r>
            </w:hyperlink>
            <w:r>
              <w:rPr>
                <w:rFonts w:eastAsia="TimesNewRomanCYR" w:cs="TimesNewRomanCYR" w:ascii="Times New Roman" w:hAnsi="Times New Roman"/>
                <w:i w:val="false"/>
                <w:iCs w:val="false"/>
                <w:color w:themeColor="text1" w:val="000000"/>
                <w:sz w:val="18"/>
                <w:szCs w:val="18"/>
                <w:highlight w:val="white"/>
                <w:shd w:fill="F0F0F0" w:val="clear"/>
              </w:rPr>
              <w:t>м С</w:t>
            </w:r>
            <w:r>
              <w:rPr>
                <w:rFonts w:eastAsia="TimesNewRomanCYR" w:cs="TimesNewRomanCYR" w:ascii="Times New Roman" w:hAnsi="Times New Roman"/>
                <w:i w:val="false"/>
                <w:iCs w:val="false"/>
                <w:color w:themeColor="text1" w:val="000000"/>
                <w:sz w:val="18"/>
                <w:szCs w:val="18"/>
                <w:highlight w:val="white"/>
                <w:shd w:fill="F0F0F0" w:val="clear"/>
              </w:rPr>
              <w:t>Д КГО</w:t>
            </w:r>
            <w:r>
              <w:rPr>
                <w:rFonts w:eastAsia="TimesNewRomanCYR" w:cs="TimesNewRomanCYR" w:ascii="Times New Roman" w:hAnsi="Times New Roman"/>
                <w:i w:val="false"/>
                <w:iCs w:val="false"/>
                <w:color w:themeColor="text1" w:val="000000"/>
                <w:sz w:val="18"/>
                <w:szCs w:val="18"/>
                <w:highlight w:val="white"/>
                <w:shd w:fill="F0F0F0" w:val="clear"/>
              </w:rPr>
              <w:t xml:space="preserve"> от 23.</w:t>
            </w:r>
            <w:r>
              <w:rPr>
                <w:rFonts w:eastAsia="TimesNewRomanCYR" w:cs="TimesNewRomanCYR" w:ascii="Times New Roman" w:hAnsi="Times New Roman"/>
                <w:i w:val="false"/>
                <w:iCs w:val="false"/>
                <w:color w:themeColor="text1" w:val="000000"/>
                <w:sz w:val="18"/>
                <w:szCs w:val="18"/>
                <w:highlight w:val="white"/>
                <w:shd w:fill="F0F0F0" w:val="clear"/>
              </w:rPr>
              <w:t>08.2023</w:t>
            </w:r>
            <w:r>
              <w:rPr>
                <w:rFonts w:eastAsia="TimesNewRomanCYR" w:cs="TimesNewRomanCYR" w:ascii="Times New Roman" w:hAnsi="Times New Roman"/>
                <w:i w:val="false"/>
                <w:iCs w:val="false"/>
                <w:color w:themeColor="text1" w:val="000000"/>
                <w:sz w:val="18"/>
                <w:szCs w:val="18"/>
                <w:highlight w:val="white"/>
                <w:shd w:fill="F0F0F0" w:val="clear"/>
              </w:rPr>
              <w:t xml:space="preserve"> № 841-МО.</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П. 283. Размещение нестационарных торговых объектов, к которым относятся торговые павильоны и киоски (далее - НТО), должно строго соответствовать Схеме размещения нестационарных торговых объектов и Порядку размещения нестационарных торговых объектов на территории городского округа. При разработке проекта необходимо учитывать рекомендуемые данными Правилами типы торговых павильонов ( к Правилам).</w:t>
            </w:r>
          </w:p>
          <w:p>
            <w:pPr>
              <w:pStyle w:val="Normal"/>
              <w:spacing w:lineRule="auto" w:line="240" w:before="0" w:after="0"/>
              <w:ind w:hanging="0"/>
              <w:jc w:val="both"/>
              <w:rPr/>
            </w:pPr>
            <w:r>
              <w:rPr>
                <w:rFonts w:eastAsia="TimesNewRomanCYR" w:cs="TimesNewRomanCYR" w:ascii="Times New Roman" w:hAnsi="Times New Roman"/>
                <w:sz w:val="18"/>
                <w:szCs w:val="18"/>
              </w:rPr>
              <w:t>П. 285. Входы в НТО должны быть адаптированы для маломобильных групп населения, основные пути передвижения по территории, прилегающей к выходу, должны соответствовать требованиям Свода прави</w:t>
            </w:r>
            <w:r>
              <w:rPr>
                <w:rFonts w:eastAsia="TimesNewRomanCYR" w:cs="TimesNewRomanCYR" w:ascii="Times New Roman" w:hAnsi="Times New Roman"/>
                <w:color w:val="auto"/>
                <w:sz w:val="18"/>
                <w:szCs w:val="18"/>
              </w:rPr>
              <w:t xml:space="preserve">л </w:t>
            </w:r>
            <w:hyperlink r:id="rId35" w:tooltip="http://mobileonline.garant.ru/document/redirect/400382837/0">
              <w:r>
                <w:rPr>
                  <w:rStyle w:val="Style"/>
                  <w:rFonts w:eastAsia="TimesNewRomanCYR" w:cs="TimesNewRomanCYR" w:ascii="Times New Roman" w:hAnsi="Times New Roman"/>
                  <w:b w:val="false"/>
                  <w:color w:val="auto"/>
                  <w:sz w:val="18"/>
                  <w:szCs w:val="18"/>
                </w:rPr>
                <w:t>СП 59.13330.2020</w:t>
              </w:r>
            </w:hyperlink>
            <w:r>
              <w:rPr>
                <w:rFonts w:eastAsia="TimesNewRomanCYR" w:cs="TimesNewRomanCYR" w:ascii="Times New Roman" w:hAnsi="Times New Roman"/>
                <w:color w:val="auto"/>
                <w:sz w:val="18"/>
                <w:szCs w:val="18"/>
              </w:rPr>
              <w:t xml:space="preserve"> "СНиП 35-01-2001 Доступность здан</w:t>
            </w:r>
            <w:r>
              <w:rPr>
                <w:rFonts w:eastAsia="TimesNewRomanCYR" w:cs="TimesNewRomanCYR" w:ascii="Times New Roman" w:hAnsi="Times New Roman"/>
                <w:sz w:val="18"/>
                <w:szCs w:val="18"/>
              </w:rPr>
              <w:t>ий и сооружений для маломобильных групп населения".</w:t>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Подраздел 4</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37</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Требования к содержанию павильонов и киосков</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Подраздел 5</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38</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Объекты развозной торговли</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ind w:hanging="0" w:left="0" w:right="0"/>
              <w:jc w:val="both"/>
              <w:rPr/>
            </w:pPr>
            <w:r>
              <w:rPr>
                <w:rFonts w:eastAsia="TimesNewRomanCYR" w:cs="TimesNewRomanCYR" w:ascii="Times New Roman" w:hAnsi="Times New Roman"/>
                <w:i w:val="false"/>
                <w:iCs w:val="false"/>
                <w:color w:val="000000"/>
                <w:sz w:val="18"/>
                <w:szCs w:val="18"/>
                <w:highlight w:val="white"/>
                <w:shd w:fill="F0F0F0" w:val="clear"/>
              </w:rPr>
              <w:t xml:space="preserve">Раздел 1 дополнен подразделом 5 </w:t>
            </w:r>
            <w:r>
              <w:rPr>
                <w:rFonts w:eastAsia="TimesNewRomanCYR" w:cs="TimesNewRomanCYR" w:ascii="Times New Roman" w:hAnsi="Times New Roman"/>
                <w:i w:val="false"/>
                <w:iCs w:val="false"/>
                <w:color w:val="000000"/>
                <w:sz w:val="18"/>
                <w:szCs w:val="18"/>
                <w:highlight w:val="white"/>
                <w:shd w:fill="F0F0F0" w:val="clear"/>
              </w:rPr>
              <w:t>р</w:t>
            </w:r>
            <w:hyperlink r:id="rId36" w:tooltip="http://mobileonline.garant.ru/document/redirect/403022054/7">
              <w:r>
                <w:rPr>
                  <w:rStyle w:val="Style"/>
                  <w:rFonts w:eastAsia="TimesNewRomanCYR" w:cs="TimesNewRomanCYR" w:ascii="Times New Roman" w:hAnsi="Times New Roman"/>
                  <w:b w:val="false"/>
                  <w:i w:val="false"/>
                  <w:iCs w:val="false"/>
                  <w:color w:val="000000"/>
                  <w:sz w:val="18"/>
                  <w:szCs w:val="18"/>
                  <w:highlight w:val="white"/>
                  <w:shd w:fill="F0F0F0" w:val="clear"/>
                </w:rPr>
                <w:t>ешение</w:t>
              </w:r>
            </w:hyperlink>
            <w:r>
              <w:rPr>
                <w:rFonts w:eastAsia="TimesNewRomanCYR" w:cs="TimesNewRomanCYR" w:ascii="Times New Roman" w:hAnsi="Times New Roman"/>
                <w:i w:val="false"/>
                <w:iCs w:val="false"/>
                <w:color w:val="000000"/>
                <w:sz w:val="18"/>
                <w:szCs w:val="18"/>
                <w:highlight w:val="white"/>
                <w:shd w:fill="F0F0F0" w:val="clear"/>
              </w:rPr>
              <w:t xml:space="preserve"> </w:t>
            </w:r>
            <w:r>
              <w:rPr>
                <w:rFonts w:eastAsia="TimesNewRomanCYR" w:cs="TimesNewRomanCYR" w:ascii="Times New Roman" w:hAnsi="Times New Roman"/>
                <w:i w:val="false"/>
                <w:iCs w:val="false"/>
                <w:color w:val="000000"/>
                <w:sz w:val="18"/>
                <w:szCs w:val="18"/>
                <w:highlight w:val="white"/>
                <w:shd w:fill="F0F0F0" w:val="clear"/>
              </w:rPr>
              <w:t>С</w:t>
            </w:r>
            <w:r>
              <w:rPr>
                <w:rFonts w:eastAsia="TimesNewRomanCYR" w:cs="TimesNewRomanCYR" w:ascii="Times New Roman" w:hAnsi="Times New Roman"/>
                <w:i w:val="false"/>
                <w:iCs w:val="false"/>
                <w:color w:val="000000"/>
                <w:sz w:val="18"/>
                <w:szCs w:val="18"/>
                <w:highlight w:val="white"/>
                <w:shd w:fill="F0F0F0" w:val="clear"/>
              </w:rPr>
              <w:t xml:space="preserve">Д </w:t>
            </w:r>
            <w:r>
              <w:rPr>
                <w:rFonts w:eastAsia="TimesNewRomanCYR" w:cs="TimesNewRomanCYR" w:ascii="Times New Roman" w:hAnsi="Times New Roman"/>
                <w:i w:val="false"/>
                <w:iCs w:val="false"/>
                <w:color w:val="000000"/>
                <w:sz w:val="18"/>
                <w:szCs w:val="18"/>
                <w:highlight w:val="white"/>
                <w:shd w:fill="F0F0F0" w:val="clear"/>
              </w:rPr>
              <w:t>К</w:t>
            </w:r>
            <w:r>
              <w:rPr>
                <w:rFonts w:eastAsia="TimesNewRomanCYR" w:cs="TimesNewRomanCYR" w:ascii="Times New Roman" w:hAnsi="Times New Roman"/>
                <w:i w:val="false"/>
                <w:iCs w:val="false"/>
                <w:color w:val="000000"/>
                <w:sz w:val="18"/>
                <w:szCs w:val="18"/>
                <w:highlight w:val="white"/>
                <w:shd w:fill="F0F0F0" w:val="clear"/>
              </w:rPr>
              <w:t>Г</w:t>
            </w:r>
            <w:r>
              <w:rPr>
                <w:rFonts w:eastAsia="TimesNewRomanCYR" w:cs="TimesNewRomanCYR" w:ascii="Times New Roman" w:hAnsi="Times New Roman"/>
                <w:i w:val="false"/>
                <w:iCs w:val="false"/>
                <w:color w:val="000000"/>
                <w:sz w:val="18"/>
                <w:szCs w:val="18"/>
                <w:highlight w:val="white"/>
                <w:shd w:fill="F0F0F0" w:val="clear"/>
              </w:rPr>
              <w:t>О</w:t>
            </w:r>
            <w:r>
              <w:rPr>
                <w:rFonts w:eastAsia="TimesNewRomanCYR" w:cs="TimesNewRomanCYR" w:ascii="Times New Roman" w:hAnsi="Times New Roman"/>
                <w:i w:val="false"/>
                <w:iCs w:val="false"/>
                <w:color w:val="000000"/>
                <w:sz w:val="18"/>
                <w:szCs w:val="18"/>
                <w:highlight w:val="white"/>
                <w:shd w:fill="F0F0F0" w:val="clear"/>
              </w:rPr>
              <w:t xml:space="preserve"> 27.</w:t>
            </w:r>
            <w:r>
              <w:rPr>
                <w:rFonts w:eastAsia="TimesNewRomanCYR" w:cs="TimesNewRomanCYR" w:ascii="Times New Roman" w:hAnsi="Times New Roman"/>
                <w:i w:val="false"/>
                <w:iCs w:val="false"/>
                <w:color w:val="000000"/>
                <w:sz w:val="18"/>
                <w:szCs w:val="18"/>
                <w:highlight w:val="white"/>
                <w:shd w:fill="F0F0F0" w:val="clear"/>
              </w:rPr>
              <w:t>1</w:t>
            </w:r>
            <w:r>
              <w:rPr>
                <w:rFonts w:eastAsia="TimesNewRomanCYR" w:cs="TimesNewRomanCYR" w:ascii="Times New Roman" w:hAnsi="Times New Roman"/>
                <w:i w:val="false"/>
                <w:iCs w:val="false"/>
                <w:color w:val="000000"/>
                <w:sz w:val="18"/>
                <w:szCs w:val="18"/>
                <w:highlight w:val="white"/>
                <w:shd w:fill="F0F0F0" w:val="clear"/>
              </w:rPr>
              <w:t>0.</w:t>
            </w:r>
            <w:r>
              <w:rPr>
                <w:rFonts w:eastAsia="TimesNewRomanCYR" w:cs="TimesNewRomanCYR" w:ascii="Times New Roman" w:hAnsi="Times New Roman"/>
                <w:i w:val="false"/>
                <w:iCs w:val="false"/>
                <w:color w:val="000000"/>
                <w:sz w:val="18"/>
                <w:szCs w:val="18"/>
                <w:highlight w:val="white"/>
                <w:shd w:fill="F0F0F0" w:val="clear"/>
              </w:rPr>
              <w:t>2</w:t>
            </w:r>
            <w:r>
              <w:rPr>
                <w:rFonts w:eastAsia="TimesNewRomanCYR" w:cs="TimesNewRomanCYR" w:ascii="Times New Roman" w:hAnsi="Times New Roman"/>
                <w:i w:val="false"/>
                <w:iCs w:val="false"/>
                <w:color w:val="000000"/>
                <w:sz w:val="18"/>
                <w:szCs w:val="18"/>
                <w:highlight w:val="white"/>
                <w:shd w:fill="F0F0F0" w:val="clear"/>
              </w:rPr>
              <w:t>0</w:t>
            </w:r>
            <w:r>
              <w:rPr>
                <w:rFonts w:eastAsia="TimesNewRomanCYR" w:cs="TimesNewRomanCYR" w:ascii="Times New Roman" w:hAnsi="Times New Roman"/>
                <w:i w:val="false"/>
                <w:iCs w:val="false"/>
                <w:color w:val="000000"/>
                <w:sz w:val="18"/>
                <w:szCs w:val="18"/>
                <w:highlight w:val="white"/>
                <w:shd w:fill="F0F0F0" w:val="clear"/>
              </w:rPr>
              <w:t>2</w:t>
            </w:r>
            <w:r>
              <w:rPr>
                <w:rFonts w:eastAsia="TimesNewRomanCYR" w:cs="TimesNewRomanCYR" w:ascii="Times New Roman" w:hAnsi="Times New Roman"/>
                <w:i w:val="false"/>
                <w:iCs w:val="false"/>
                <w:color w:val="000000"/>
                <w:sz w:val="18"/>
                <w:szCs w:val="18"/>
                <w:highlight w:val="white"/>
                <w:shd w:fill="F0F0F0" w:val="clear"/>
              </w:rPr>
              <w:t xml:space="preserve">1 </w:t>
            </w:r>
            <w:r>
              <w:rPr>
                <w:rFonts w:eastAsia="TimesNewRomanCYR" w:cs="TimesNewRomanCYR" w:ascii="Times New Roman" w:hAnsi="Times New Roman"/>
                <w:i w:val="false"/>
                <w:iCs w:val="false"/>
                <w:color w:val="000000"/>
                <w:sz w:val="18"/>
                <w:szCs w:val="18"/>
                <w:highlight w:val="white"/>
                <w:shd w:fill="F0F0F0" w:val="clear"/>
              </w:rPr>
              <w:t>№ 291-МО.</w:t>
            </w:r>
          </w:p>
          <w:p>
            <w:pPr>
              <w:pStyle w:val="Normal"/>
              <w:spacing w:lineRule="auto" w:line="240" w:before="0" w:after="0"/>
              <w:ind w:hanging="0"/>
              <w:jc w:val="both"/>
              <w:rPr>
                <w:rFonts w:ascii="Times New Roman" w:hAnsi="Times New Roman"/>
                <w:sz w:val="18"/>
                <w:szCs w:val="18"/>
              </w:rPr>
            </w:pPr>
            <w:bookmarkStart w:id="50" w:name="undefined_Копия_25"/>
            <w:bookmarkEnd w:id="50"/>
            <w:r>
              <w:rPr>
                <w:rFonts w:eastAsia="TimesNewRomanCYR" w:cs="TimesNewRomanCYR" w:ascii="Times New Roman" w:hAnsi="Times New Roman"/>
                <w:sz w:val="18"/>
                <w:szCs w:val="18"/>
              </w:rPr>
              <w:t>П. 295.1. Размещение объектов развозной торговли не допускается в следующих местах на территориях общего пользования:</w:t>
            </w:r>
          </w:p>
          <w:p>
            <w:pPr>
              <w:pStyle w:val="Normal"/>
              <w:spacing w:lineRule="auto" w:line="240" w:before="0" w:after="0"/>
              <w:ind w:hanging="0"/>
              <w:jc w:val="both"/>
              <w:rPr/>
            </w:pPr>
            <w:bookmarkStart w:id="51" w:name="undefined_Копия_25"/>
            <w:bookmarkEnd w:id="51"/>
            <w:r>
              <w:rPr>
                <w:rFonts w:eastAsia="TimesNewRomanCYR" w:cs="TimesNewRomanCYR" w:ascii="Times New Roman" w:hAnsi="Times New Roman"/>
                <w:sz w:val="18"/>
                <w:szCs w:val="18"/>
              </w:rPr>
              <w:t xml:space="preserve">1) не разрешенных для стоянки </w:t>
            </w:r>
            <w:hyperlink r:id="rId37" w:tooltip="http://mobileonline.garant.ru/document/redirect/1305770/0">
              <w:r>
                <w:rPr>
                  <w:rStyle w:val="Style"/>
                  <w:rFonts w:eastAsia="TimesNewRomanCYR" w:cs="TimesNewRomanCYR" w:ascii="Times New Roman" w:hAnsi="Times New Roman"/>
                  <w:b w:val="false"/>
                  <w:color w:val="auto"/>
                  <w:sz w:val="18"/>
                  <w:szCs w:val="18"/>
                </w:rPr>
                <w:t>Правилами</w:t>
              </w:r>
            </w:hyperlink>
            <w:r>
              <w:rPr>
                <w:rFonts w:eastAsia="TimesNewRomanCYR" w:cs="TimesNewRomanCYR" w:ascii="Times New Roman" w:hAnsi="Times New Roman"/>
                <w:color w:val="auto"/>
                <w:sz w:val="18"/>
                <w:szCs w:val="18"/>
              </w:rPr>
              <w:t xml:space="preserve"> </w:t>
            </w:r>
            <w:r>
              <w:rPr>
                <w:rFonts w:eastAsia="TimesNewRomanCYR" w:cs="TimesNewRomanCYR" w:ascii="Times New Roman" w:hAnsi="Times New Roman"/>
                <w:sz w:val="18"/>
                <w:szCs w:val="18"/>
              </w:rPr>
              <w:t>дорожного движения Российской Федерации, не имеющих подъездных путей, мешающих движению пешеходов;</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2) относящихся к охранным зонам памятников истории, культуры и архитектуры, инженерных сетей, санитарно-защитным зонам, территориям, занятым зелеными насаждениями, придомовым территориям в случае, когда земельный участок не образован;</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3) в арках зданий, на детских и спортивных площадках, на площадях городского округа, на территории парков, скверов, объектов культурного наследия, на обочинах автомобильных дорог общего пользования, тротуарах, газонах, остановках общественного транспорта, на автомобильных стоянках и парковках;</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4) вдоль центральных улиц городского округа: пр. Коммунистический, пр. Славы, пр. Победы, ул. Ленина.</w:t>
            </w:r>
          </w:p>
          <w:p>
            <w:pPr>
              <w:pStyle w:val="Normal"/>
              <w:spacing w:lineRule="auto" w:line="240" w:before="0" w:after="0"/>
              <w:ind w:hanging="0"/>
              <w:jc w:val="both"/>
              <w:rPr/>
            </w:pPr>
            <w:r>
              <w:rPr>
                <w:rFonts w:eastAsia="TimesNewRomanCYR" w:cs="TimesNewRomanCYR" w:ascii="Times New Roman" w:hAnsi="Times New Roman"/>
                <w:sz w:val="18"/>
                <w:szCs w:val="18"/>
              </w:rPr>
              <w:t xml:space="preserve">П. </w:t>
            </w:r>
            <w:bookmarkStart w:id="52" w:name="undefined_Копия_26"/>
            <w:bookmarkEnd w:id="52"/>
            <w:r>
              <w:rPr>
                <w:rFonts w:eastAsia="TimesNewRomanCYR" w:cs="TimesNewRomanCYR" w:ascii="Times New Roman" w:hAnsi="Times New Roman"/>
                <w:sz w:val="18"/>
                <w:szCs w:val="18"/>
              </w:rPr>
              <w:t xml:space="preserve">295.2 Осуществление развозной торговли не допускается, если объект развозной торговли находится в технически неисправном состоянии, не соответствует требованиям безопасности, санитарно-гигиеническим нормам и правилам, требованиям </w:t>
            </w:r>
            <w:hyperlink r:id="rId38" w:tooltip="http://mobileonline.garant.ru/document/redirect/12145525/0">
              <w:r>
                <w:rPr>
                  <w:rStyle w:val="Style"/>
                  <w:rFonts w:eastAsia="TimesNewRomanCYR" w:cs="TimesNewRomanCYR" w:ascii="Times New Roman" w:hAnsi="Times New Roman"/>
                  <w:b w:val="false"/>
                  <w:color w:val="auto"/>
                  <w:sz w:val="18"/>
                  <w:szCs w:val="18"/>
                </w:rPr>
                <w:t>законодательства</w:t>
              </w:r>
            </w:hyperlink>
            <w:r>
              <w:rPr>
                <w:rFonts w:eastAsia="TimesNewRomanCYR" w:cs="TimesNewRomanCYR" w:ascii="Times New Roman" w:hAnsi="Times New Roman"/>
                <w:color w:val="auto"/>
                <w:sz w:val="18"/>
                <w:szCs w:val="18"/>
              </w:rPr>
              <w:t xml:space="preserve"> Российской Федерации о рекламе, не имеет вывески, содержащей информацию, предусмотренную </w:t>
            </w:r>
            <w:hyperlink r:id="rId39" w:tooltip="http://mobileonline.garant.ru/document/redirect/10106035/0">
              <w:r>
                <w:rPr>
                  <w:rStyle w:val="Style"/>
                  <w:rFonts w:eastAsia="TimesNewRomanCYR" w:cs="TimesNewRomanCYR" w:ascii="Times New Roman" w:hAnsi="Times New Roman"/>
                  <w:b w:val="false"/>
                  <w:color w:val="auto"/>
                  <w:sz w:val="18"/>
                  <w:szCs w:val="18"/>
                </w:rPr>
                <w:t>Законом</w:t>
              </w:r>
            </w:hyperlink>
            <w:r>
              <w:rPr>
                <w:rFonts w:eastAsia="TimesNewRomanCYR" w:cs="TimesNewRomanCYR" w:ascii="Times New Roman" w:hAnsi="Times New Roman"/>
                <w:color w:val="auto"/>
                <w:sz w:val="18"/>
                <w:szCs w:val="18"/>
              </w:rPr>
              <w:t xml:space="preserve"> Российской Федерации "О защите прав потребителей".</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 xml:space="preserve">П. </w:t>
            </w:r>
            <w:bookmarkStart w:id="53" w:name="undefined_Копия_26"/>
            <w:bookmarkEnd w:id="53"/>
            <w:r>
              <w:rPr>
                <w:rFonts w:eastAsia="TimesNewRomanCYR" w:cs="TimesNewRomanCYR" w:ascii="Times New Roman" w:hAnsi="Times New Roman"/>
                <w:sz w:val="18"/>
                <w:szCs w:val="18"/>
              </w:rPr>
              <w:t>295.3. Требования к размещению и внешнему виду объектов для осуществления развозной торговли на территориях общего пользования, осуществлению их деятельности, порядок выдачи разрешения на размещение объекта развозной торговли, порядок отзыва или аннулирования разрешений, порядок ведения реестра выданных разрешений устанавливаются постановлением администрации Копейского городского округа.</w:t>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Глава VII </w:t>
            </w:r>
            <w:r>
              <w:rPr>
                <w:rFonts w:eastAsia="Times New Roman" w:cs="Times New Roman" w:ascii="Times New Roman" w:hAnsi="Times New Roman"/>
                <w:sz w:val="18"/>
                <w:szCs w:val="18"/>
              </w:rPr>
              <w:t>Организация производства земляных работ и работ, влекущих нарушение благоустройства и (или) природного ландшафта</w:t>
            </w:r>
          </w:p>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Раздел 1. Общие положения</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39</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Общие положения</w:t>
            </w:r>
          </w:p>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c>
          <w:tcPr>
            <w:tcW w:w="8224" w:type="dxa"/>
            <w:tcBorders>
              <w:top w:val="single" w:sz="4" w:space="0" w:color="000000"/>
              <w:left w:val="single" w:sz="4" w:space="0" w:color="000000"/>
              <w:bottom w:val="single" w:sz="4" w:space="0" w:color="000000"/>
              <w:right w:val="single" w:sz="4" w:space="0" w:color="000000"/>
            </w:tcBorders>
          </w:tcPr>
          <w:p>
            <w:pPr>
              <w:pStyle w:val="Style19"/>
              <w:spacing w:lineRule="auto" w:line="240" w:before="0" w:after="0"/>
              <w:ind w:hanging="0" w:left="0" w:right="0"/>
              <w:jc w:val="both"/>
              <w:rPr/>
            </w:pPr>
            <w:r>
              <w:rPr>
                <w:rFonts w:eastAsia="TimesNewRomanCYR" w:cs="TimesNewRomanCYR" w:ascii="Times New Roman" w:hAnsi="Times New Roman"/>
                <w:i w:val="false"/>
                <w:iCs w:val="false"/>
                <w:color w:val="000000"/>
                <w:sz w:val="18"/>
                <w:szCs w:val="18"/>
                <w:highlight w:val="white"/>
                <w:shd w:fill="F0F0F0" w:val="clear"/>
              </w:rPr>
              <w:t xml:space="preserve">П. 296 изменен </w:t>
            </w:r>
            <w:r>
              <w:rPr>
                <w:rFonts w:eastAsia="TimesNewRomanCYR" w:cs="TimesNewRomanCYR" w:ascii="Times New Roman" w:hAnsi="Times New Roman"/>
                <w:i w:val="false"/>
                <w:iCs w:val="false"/>
                <w:color w:themeColor="text1" w:val="000000"/>
                <w:sz w:val="18"/>
                <w:szCs w:val="18"/>
                <w:highlight w:val="white"/>
                <w:shd w:fill="F0F0F0" w:val="clear"/>
              </w:rPr>
              <w:t>р</w:t>
            </w:r>
            <w:hyperlink r:id="rId40" w:tooltip="http://mobileonline.garant.ru/document/redirect/407604550/20">
              <w:r>
                <w:rPr>
                  <w:rStyle w:val="Style"/>
                  <w:rFonts w:eastAsia="TimesNewRomanCYR" w:cs="TimesNewRomanCYR" w:ascii="Times New Roman" w:hAnsi="Times New Roman"/>
                  <w:b w:val="false"/>
                  <w:i w:val="false"/>
                  <w:iCs w:val="false"/>
                  <w:color w:themeColor="text1" w:val="000000"/>
                  <w:sz w:val="18"/>
                  <w:szCs w:val="18"/>
                  <w:highlight w:val="white"/>
                  <w:shd w:fill="F0F0F0" w:val="clear"/>
                </w:rPr>
                <w:t>ешение</w:t>
              </w:r>
            </w:hyperlink>
            <w:r>
              <w:rPr>
                <w:rFonts w:eastAsia="TimesNewRomanCYR" w:cs="TimesNewRomanCYR" w:ascii="Times New Roman" w:hAnsi="Times New Roman"/>
                <w:i w:val="false"/>
                <w:iCs w:val="false"/>
                <w:color w:themeColor="text1" w:val="000000"/>
                <w:sz w:val="18"/>
                <w:szCs w:val="18"/>
                <w:highlight w:val="white"/>
                <w:shd w:fill="F0F0F0" w:val="clear"/>
              </w:rPr>
              <w:t>м С</w:t>
            </w:r>
            <w:r>
              <w:rPr>
                <w:rFonts w:eastAsia="TimesNewRomanCYR" w:cs="TimesNewRomanCYR" w:ascii="Times New Roman" w:hAnsi="Times New Roman"/>
                <w:i w:val="false"/>
                <w:iCs w:val="false"/>
                <w:color w:themeColor="text1" w:val="000000"/>
                <w:sz w:val="18"/>
                <w:szCs w:val="18"/>
                <w:highlight w:val="white"/>
                <w:shd w:fill="F0F0F0" w:val="clear"/>
              </w:rPr>
              <w:t>Д КГО</w:t>
            </w:r>
            <w:r>
              <w:rPr>
                <w:rFonts w:eastAsia="TimesNewRomanCYR" w:cs="TimesNewRomanCYR" w:ascii="Times New Roman" w:hAnsi="Times New Roman"/>
                <w:i w:val="false"/>
                <w:iCs w:val="false"/>
                <w:color w:themeColor="text1" w:val="000000"/>
                <w:sz w:val="18"/>
                <w:szCs w:val="18"/>
                <w:highlight w:val="white"/>
                <w:shd w:fill="F0F0F0" w:val="clear"/>
              </w:rPr>
              <w:t xml:space="preserve"> от 23.</w:t>
            </w:r>
            <w:r>
              <w:rPr>
                <w:rFonts w:eastAsia="TimesNewRomanCYR" w:cs="TimesNewRomanCYR" w:ascii="Times New Roman" w:hAnsi="Times New Roman"/>
                <w:i w:val="false"/>
                <w:iCs w:val="false"/>
                <w:color w:themeColor="text1" w:val="000000"/>
                <w:sz w:val="18"/>
                <w:szCs w:val="18"/>
                <w:highlight w:val="white"/>
                <w:shd w:fill="F0F0F0" w:val="clear"/>
              </w:rPr>
              <w:t>08.2023</w:t>
            </w:r>
            <w:r>
              <w:rPr>
                <w:rFonts w:eastAsia="TimesNewRomanCYR" w:cs="TimesNewRomanCYR" w:ascii="Times New Roman" w:hAnsi="Times New Roman"/>
                <w:i w:val="false"/>
                <w:iCs w:val="false"/>
                <w:color w:themeColor="text1" w:val="000000"/>
                <w:sz w:val="18"/>
                <w:szCs w:val="18"/>
                <w:highlight w:val="white"/>
                <w:shd w:fill="F0F0F0" w:val="clear"/>
              </w:rPr>
              <w:t xml:space="preserve"> № 841-МО.</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П. 296. Производство земляных работ и работ, влекущих нарушение благоустройства и (или) природного ландшафта (в том числе повреждение или уничтожение зеленых насаждений, газонов, нарушение конструкций дорог, тротуаров, объектов благоустройства), должно осуществляться с соблюдением строительных норм и правил (далее - СНиП), правил технической эксплуатации, правил безопасности, настоящих Правил и других нормативных документов.</w:t>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Раздел 2 </w:t>
            </w:r>
            <w:r>
              <w:rPr>
                <w:rFonts w:eastAsia="Times New Roman" w:cs="Times New Roman" w:ascii="Times New Roman" w:hAnsi="Times New Roman"/>
                <w:sz w:val="18"/>
                <w:szCs w:val="18"/>
              </w:rPr>
              <w:t>Организация производства работ, влекущих ограничение движения транспорта по улицам и дорогам общего пользования</w:t>
            </w:r>
          </w:p>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Подраздел 1</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40</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Производство плановых земляных работ</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Подраздел 2</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41</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Производство аварийных работ</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Раздел 3 </w:t>
            </w:r>
            <w:r>
              <w:rPr>
                <w:rFonts w:eastAsia="Times New Roman" w:cs="Times New Roman" w:ascii="Times New Roman" w:hAnsi="Times New Roman"/>
                <w:sz w:val="18"/>
                <w:szCs w:val="18"/>
              </w:rPr>
              <w:t>Условия разработки исходной документации для проектирования и строительства</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42</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Условия разработки исходной документации для проектирования и строительства</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Раздел 4 </w:t>
            </w:r>
            <w:r>
              <w:rPr>
                <w:rFonts w:eastAsia="Times New Roman" w:cs="Times New Roman" w:ascii="Times New Roman" w:hAnsi="Times New Roman"/>
                <w:sz w:val="18"/>
                <w:szCs w:val="18"/>
              </w:rPr>
              <w:t>Согласование проектной документации и условий осуществления земляных работ</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43</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Согласование проектной документации и условий осуществления земляных работ</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Раздел 5 </w:t>
            </w:r>
            <w:r>
              <w:rPr>
                <w:rFonts w:eastAsia="Times New Roman" w:cs="Times New Roman" w:ascii="Times New Roman" w:hAnsi="Times New Roman"/>
                <w:sz w:val="18"/>
                <w:szCs w:val="18"/>
              </w:rPr>
              <w:t>Организация и производство работ, требования к содержанию зон производства работ</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44</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Организация и производство работ, требования к содержанию зон производства работ</w:t>
            </w:r>
          </w:p>
        </w:tc>
        <w:tc>
          <w:tcPr>
            <w:tcW w:w="8224" w:type="dxa"/>
            <w:tcBorders>
              <w:top w:val="single" w:sz="4" w:space="0" w:color="000000"/>
              <w:left w:val="single" w:sz="4" w:space="0" w:color="000000"/>
              <w:bottom w:val="single" w:sz="4" w:space="0" w:color="000000"/>
              <w:right w:val="single" w:sz="4" w:space="0" w:color="000000"/>
            </w:tcBorders>
          </w:tcPr>
          <w:p>
            <w:pPr>
              <w:pStyle w:val="Style19"/>
              <w:spacing w:lineRule="auto" w:line="240" w:before="0" w:after="0"/>
              <w:ind w:hanging="0" w:left="0" w:right="0"/>
              <w:jc w:val="both"/>
              <w:rPr/>
            </w:pPr>
            <w:r>
              <w:rPr>
                <w:rFonts w:eastAsia="TimesNewRomanCYR" w:cs="TimesNewRomanCYR" w:ascii="Times New Roman" w:hAnsi="Times New Roman"/>
                <w:i w:val="false"/>
                <w:iCs w:val="false"/>
                <w:color w:val="000000"/>
                <w:sz w:val="18"/>
                <w:szCs w:val="18"/>
                <w:highlight w:val="white"/>
                <w:shd w:fill="F0F0F0" w:val="clear"/>
              </w:rPr>
              <w:t>П</w:t>
            </w:r>
            <w:r>
              <w:rPr>
                <w:rFonts w:eastAsia="TimesNewRomanCYR" w:cs="TimesNewRomanCYR" w:ascii="Times New Roman" w:hAnsi="Times New Roman"/>
                <w:i w:val="false"/>
                <w:iCs w:val="false"/>
                <w:color w:val="000000"/>
                <w:sz w:val="18"/>
                <w:szCs w:val="18"/>
                <w:highlight w:val="white"/>
                <w:shd w:fill="F0F0F0" w:val="clear"/>
              </w:rPr>
              <w:t>у</w:t>
            </w:r>
            <w:r>
              <w:rPr>
                <w:rFonts w:eastAsia="TimesNewRomanCYR" w:cs="TimesNewRomanCYR" w:ascii="Times New Roman" w:hAnsi="Times New Roman"/>
                <w:i w:val="false"/>
                <w:iCs w:val="false"/>
                <w:color w:val="000000"/>
                <w:sz w:val="18"/>
                <w:szCs w:val="18"/>
                <w:highlight w:val="white"/>
                <w:shd w:fill="F0F0F0" w:val="clear"/>
              </w:rPr>
              <w:t>н</w:t>
            </w:r>
            <w:r>
              <w:rPr>
                <w:rFonts w:eastAsia="TimesNewRomanCYR" w:cs="TimesNewRomanCYR" w:ascii="Times New Roman" w:hAnsi="Times New Roman"/>
                <w:i w:val="false"/>
                <w:iCs w:val="false"/>
                <w:color w:val="000000"/>
                <w:sz w:val="18"/>
                <w:szCs w:val="18"/>
                <w:highlight w:val="white"/>
                <w:shd w:fill="F0F0F0" w:val="clear"/>
              </w:rPr>
              <w:t>к</w:t>
            </w:r>
            <w:r>
              <w:rPr>
                <w:rFonts w:eastAsia="TimesNewRomanCYR" w:cs="TimesNewRomanCYR" w:ascii="Times New Roman" w:hAnsi="Times New Roman"/>
                <w:i w:val="false"/>
                <w:iCs w:val="false"/>
                <w:color w:val="000000"/>
                <w:sz w:val="18"/>
                <w:szCs w:val="18"/>
                <w:highlight w:val="white"/>
                <w:shd w:fill="F0F0F0" w:val="clear"/>
              </w:rPr>
              <w:t>т</w:t>
            </w:r>
            <w:r>
              <w:rPr>
                <w:rFonts w:eastAsia="TimesNewRomanCYR" w:cs="TimesNewRomanCYR" w:ascii="Times New Roman" w:hAnsi="Times New Roman"/>
                <w:i w:val="false"/>
                <w:iCs w:val="false"/>
                <w:color w:val="000000"/>
                <w:sz w:val="18"/>
                <w:szCs w:val="18"/>
                <w:highlight w:val="white"/>
                <w:shd w:fill="F0F0F0" w:val="clear"/>
              </w:rPr>
              <w:t xml:space="preserve">ы </w:t>
            </w:r>
            <w:r>
              <w:rPr>
                <w:rFonts w:eastAsia="TimesNewRomanCYR" w:cs="TimesNewRomanCYR" w:ascii="Times New Roman" w:hAnsi="Times New Roman"/>
                <w:i w:val="false"/>
                <w:iCs w:val="false"/>
                <w:color w:val="000000"/>
                <w:sz w:val="18"/>
                <w:szCs w:val="18"/>
                <w:highlight w:val="white"/>
                <w:shd w:fill="F0F0F0" w:val="clear"/>
              </w:rPr>
              <w:t xml:space="preserve">в </w:t>
            </w:r>
            <w:r>
              <w:rPr>
                <w:rFonts w:eastAsia="TimesNewRomanCYR" w:cs="TimesNewRomanCYR" w:ascii="Times New Roman" w:hAnsi="Times New Roman"/>
                <w:i w:val="false"/>
                <w:iCs w:val="false"/>
                <w:color w:val="000000"/>
                <w:sz w:val="18"/>
                <w:szCs w:val="18"/>
                <w:highlight w:val="white"/>
                <w:shd w:fill="F0F0F0" w:val="clear"/>
              </w:rPr>
              <w:t>р</w:t>
            </w:r>
            <w:r>
              <w:rPr>
                <w:rFonts w:eastAsia="TimesNewRomanCYR" w:cs="TimesNewRomanCYR" w:ascii="Times New Roman" w:hAnsi="Times New Roman"/>
                <w:i w:val="false"/>
                <w:iCs w:val="false"/>
                <w:color w:val="000000"/>
                <w:sz w:val="18"/>
                <w:szCs w:val="18"/>
                <w:highlight w:val="white"/>
                <w:shd w:fill="F0F0F0" w:val="clear"/>
              </w:rPr>
              <w:t>е</w:t>
            </w:r>
            <w:r>
              <w:rPr>
                <w:rFonts w:eastAsia="TimesNewRomanCYR" w:cs="TimesNewRomanCYR" w:ascii="Times New Roman" w:hAnsi="Times New Roman"/>
                <w:i w:val="false"/>
                <w:iCs w:val="false"/>
                <w:color w:val="000000"/>
                <w:sz w:val="18"/>
                <w:szCs w:val="18"/>
                <w:highlight w:val="white"/>
                <w:shd w:fill="F0F0F0" w:val="clear"/>
              </w:rPr>
              <w:t>д</w:t>
            </w:r>
            <w:r>
              <w:rPr>
                <w:rFonts w:eastAsia="TimesNewRomanCYR" w:cs="TimesNewRomanCYR" w:ascii="Times New Roman" w:hAnsi="Times New Roman"/>
                <w:i w:val="false"/>
                <w:iCs w:val="false"/>
                <w:color w:val="000000"/>
                <w:sz w:val="18"/>
                <w:szCs w:val="18"/>
                <w:highlight w:val="white"/>
                <w:shd w:fill="F0F0F0" w:val="clear"/>
              </w:rPr>
              <w:t>а</w:t>
            </w:r>
            <w:r>
              <w:rPr>
                <w:rFonts w:eastAsia="TimesNewRomanCYR" w:cs="TimesNewRomanCYR" w:ascii="Times New Roman" w:hAnsi="Times New Roman"/>
                <w:i w:val="false"/>
                <w:iCs w:val="false"/>
                <w:color w:val="000000"/>
                <w:sz w:val="18"/>
                <w:szCs w:val="18"/>
                <w:highlight w:val="white"/>
                <w:shd w:fill="F0F0F0" w:val="clear"/>
              </w:rPr>
              <w:t>к</w:t>
            </w:r>
            <w:r>
              <w:rPr>
                <w:rFonts w:eastAsia="TimesNewRomanCYR" w:cs="TimesNewRomanCYR" w:ascii="Times New Roman" w:hAnsi="Times New Roman"/>
                <w:i w:val="false"/>
                <w:iCs w:val="false"/>
                <w:color w:val="000000"/>
                <w:sz w:val="18"/>
                <w:szCs w:val="18"/>
                <w:highlight w:val="white"/>
                <w:shd w:fill="F0F0F0" w:val="clear"/>
              </w:rPr>
              <w:t>ц</w:t>
            </w:r>
            <w:r>
              <w:rPr>
                <w:rFonts w:eastAsia="TimesNewRomanCYR" w:cs="TimesNewRomanCYR" w:ascii="Times New Roman" w:hAnsi="Times New Roman"/>
                <w:i w:val="false"/>
                <w:iCs w:val="false"/>
                <w:color w:val="000000"/>
                <w:sz w:val="18"/>
                <w:szCs w:val="18"/>
                <w:highlight w:val="white"/>
                <w:shd w:fill="F0F0F0" w:val="clear"/>
              </w:rPr>
              <w:t>и</w:t>
            </w:r>
            <w:r>
              <w:rPr>
                <w:rFonts w:eastAsia="TimesNewRomanCYR" w:cs="TimesNewRomanCYR" w:ascii="Times New Roman" w:hAnsi="Times New Roman"/>
                <w:i w:val="false"/>
                <w:iCs w:val="false"/>
                <w:color w:val="000000"/>
                <w:sz w:val="18"/>
                <w:szCs w:val="18"/>
                <w:highlight w:val="white"/>
                <w:shd w:fill="F0F0F0" w:val="clear"/>
              </w:rPr>
              <w:t>и</w:t>
            </w:r>
            <w:r>
              <w:rPr>
                <w:rFonts w:eastAsia="TimesNewRomanCYR" w:cs="TimesNewRomanCYR" w:ascii="Times New Roman" w:hAnsi="Times New Roman"/>
                <w:i w:val="false"/>
                <w:iCs w:val="false"/>
                <w:color w:val="000000"/>
                <w:sz w:val="18"/>
                <w:szCs w:val="18"/>
                <w:highlight w:val="white"/>
                <w:shd w:fill="F0F0F0" w:val="clear"/>
              </w:rPr>
              <w:t xml:space="preserve"> </w:t>
            </w:r>
            <w:r>
              <w:rPr>
                <w:rFonts w:eastAsia="TimesNewRomanCYR" w:cs="TimesNewRomanCYR" w:ascii="Times New Roman" w:hAnsi="Times New Roman"/>
                <w:i w:val="false"/>
                <w:iCs w:val="false"/>
                <w:color w:val="000000"/>
                <w:sz w:val="18"/>
                <w:szCs w:val="18"/>
                <w:highlight w:val="white"/>
                <w:shd w:fill="F0F0F0" w:val="clear"/>
              </w:rPr>
              <w:t>р</w:t>
            </w:r>
            <w:hyperlink r:id="rId41" w:tooltip="http://mobileonline.garant.ru/document/redirect/407604550/20">
              <w:r>
                <w:rPr>
                  <w:rStyle w:val="Style"/>
                  <w:rFonts w:eastAsia="TimesNewRomanCYR" w:cs="TimesNewRomanCYR" w:ascii="Times New Roman" w:hAnsi="Times New Roman"/>
                  <w:b w:val="false"/>
                  <w:i w:val="false"/>
                  <w:iCs w:val="false"/>
                  <w:color w:val="000000"/>
                  <w:sz w:val="18"/>
                  <w:szCs w:val="18"/>
                  <w:highlight w:val="white"/>
                  <w:shd w:fill="F0F0F0" w:val="clear"/>
                </w:rPr>
                <w:t>ешени</w:t>
              </w:r>
              <w:r>
                <w:rPr>
                  <w:rStyle w:val="Style"/>
                  <w:rFonts w:eastAsia="TimesNewRomanCYR" w:cs="TimesNewRomanCYR" w:ascii="Times New Roman" w:hAnsi="Times New Roman"/>
                  <w:b w:val="false"/>
                  <w:i w:val="false"/>
                  <w:iCs w:val="false"/>
                  <w:color w:val="000000"/>
                  <w:sz w:val="18"/>
                  <w:szCs w:val="18"/>
                  <w:highlight w:val="white"/>
                  <w:shd w:fill="F0F0F0" w:val="clear"/>
                </w:rPr>
                <w:t>я</w:t>
              </w:r>
            </w:hyperlink>
            <w:r>
              <w:rPr>
                <w:rFonts w:eastAsia="TimesNewRomanCYR" w:cs="TimesNewRomanCYR" w:ascii="Times New Roman" w:hAnsi="Times New Roman"/>
                <w:i w:val="false"/>
                <w:iCs w:val="false"/>
                <w:color w:val="000000"/>
                <w:sz w:val="18"/>
                <w:szCs w:val="18"/>
                <w:highlight w:val="white"/>
                <w:shd w:fill="F0F0F0" w:val="clear"/>
              </w:rPr>
              <w:t xml:space="preserve"> С</w:t>
            </w:r>
            <w:r>
              <w:rPr>
                <w:rFonts w:eastAsia="TimesNewRomanCYR" w:cs="TimesNewRomanCYR" w:ascii="Times New Roman" w:hAnsi="Times New Roman"/>
                <w:i w:val="false"/>
                <w:iCs w:val="false"/>
                <w:color w:val="000000"/>
                <w:sz w:val="18"/>
                <w:szCs w:val="18"/>
                <w:highlight w:val="white"/>
                <w:shd w:fill="F0F0F0" w:val="clear"/>
              </w:rPr>
              <w:t>Д КГО</w:t>
            </w:r>
            <w:r>
              <w:rPr>
                <w:rFonts w:eastAsia="TimesNewRomanCYR" w:cs="TimesNewRomanCYR" w:ascii="Times New Roman" w:hAnsi="Times New Roman"/>
                <w:i w:val="false"/>
                <w:iCs w:val="false"/>
                <w:color w:val="000000"/>
                <w:sz w:val="18"/>
                <w:szCs w:val="18"/>
                <w:highlight w:val="white"/>
                <w:shd w:fill="F0F0F0" w:val="clear"/>
              </w:rPr>
              <w:t xml:space="preserve"> от 23.</w:t>
            </w:r>
            <w:r>
              <w:rPr>
                <w:rFonts w:eastAsia="TimesNewRomanCYR" w:cs="TimesNewRomanCYR" w:ascii="Times New Roman" w:hAnsi="Times New Roman"/>
                <w:i w:val="false"/>
                <w:iCs w:val="false"/>
                <w:color w:val="000000"/>
                <w:sz w:val="18"/>
                <w:szCs w:val="18"/>
                <w:highlight w:val="white"/>
                <w:shd w:fill="F0F0F0" w:val="clear"/>
              </w:rPr>
              <w:t>08.2023</w:t>
            </w:r>
            <w:r>
              <w:rPr>
                <w:rFonts w:eastAsia="TimesNewRomanCYR" w:cs="TimesNewRomanCYR" w:ascii="Times New Roman" w:hAnsi="Times New Roman"/>
                <w:i w:val="false"/>
                <w:iCs w:val="false"/>
                <w:color w:val="000000"/>
                <w:sz w:val="18"/>
                <w:szCs w:val="18"/>
                <w:highlight w:val="white"/>
                <w:shd w:fill="F0F0F0" w:val="clear"/>
              </w:rPr>
              <w:t xml:space="preserve"> № 841-МО.</w:t>
            </w:r>
          </w:p>
          <w:p>
            <w:pPr>
              <w:pStyle w:val="Normal"/>
              <w:spacing w:lineRule="auto" w:line="240" w:before="0" w:after="0"/>
              <w:ind w:hanging="0"/>
              <w:jc w:val="both"/>
              <w:rPr>
                <w:color w:val="000000"/>
                <w:sz w:val="18"/>
                <w:szCs w:val="18"/>
              </w:rPr>
            </w:pPr>
            <w:r>
              <w:rPr>
                <w:rFonts w:eastAsia="TimesNewRomanCYR" w:cs="TimesNewRomanCYR" w:ascii="Times New Roman" w:hAnsi="Times New Roman"/>
                <w:color w:val="000000"/>
                <w:sz w:val="18"/>
                <w:szCs w:val="18"/>
              </w:rPr>
              <w:t>Пп. 1 п 320. Запрещается: 1) выполнять работы без получения разрешения на осуществление земляных работ (ордера), кроме случаев, указанных в  настоящих Правил</w:t>
            </w:r>
            <w:r>
              <w:rPr>
                <w:rFonts w:eastAsia="TimesNewRomanCYR" w:cs="TimesNewRomanCYR" w:ascii="Times New Roman" w:hAnsi="Times New Roman"/>
                <w:color w:val="000000"/>
                <w:sz w:val="18"/>
                <w:szCs w:val="18"/>
              </w:rPr>
              <w:t>ах</w:t>
            </w:r>
          </w:p>
          <w:p>
            <w:pPr>
              <w:pStyle w:val="Normal"/>
              <w:spacing w:lineRule="auto" w:line="240" w:before="0" w:after="0"/>
              <w:ind w:hanging="0"/>
              <w:jc w:val="both"/>
              <w:rPr>
                <w:rFonts w:ascii="Times New Roman" w:hAnsi="Times New Roman"/>
                <w:sz w:val="18"/>
                <w:szCs w:val="18"/>
              </w:rPr>
            </w:pPr>
            <w:r>
              <w:rPr>
                <w:rFonts w:eastAsia="TimesNewRomanCYR" w:cs="TimesNewRomanCYR" w:ascii="Times New Roman" w:hAnsi="Times New Roman"/>
                <w:sz w:val="18"/>
                <w:szCs w:val="18"/>
              </w:rPr>
              <w:t>Пп. 15 п. 320. Запрещается: нарушать указанные в ордере сроки производства работ и сроки восстановления элементов благоустройства после производства земляных работ.</w:t>
            </w:r>
          </w:p>
          <w:p>
            <w:pPr>
              <w:pStyle w:val="Normal"/>
              <w:spacing w:lineRule="auto" w:line="240" w:before="0" w:after="0"/>
              <w:ind w:hanging="0"/>
              <w:jc w:val="both"/>
              <w:rPr>
                <w:sz w:val="18"/>
                <w:szCs w:val="18"/>
              </w:rPr>
            </w:pPr>
            <w:r>
              <w:rPr>
                <w:rFonts w:eastAsia="TimesNewRomanCYR" w:cs="TimesNewRomanCYR" w:ascii="Times New Roman" w:hAnsi="Times New Roman"/>
                <w:sz w:val="18"/>
                <w:szCs w:val="18"/>
              </w:rPr>
              <w:t>Пп. 1 п. 321. Заказчик (подрядчик) приступает к работам после: оформления и получения разрешения на осуществление земляных работ (ордера), кроме случаев, указанных в,  настоящих Правил и составления совместно с лицом, ответственным за содержание общего имущества многоквартирного дома, расположенного на земельном участке, акта осмотра земельного участка, на котором будут проводиться работы, с указанием даты, времени его составления, технического состояния дорожного покрытия, архитектурных форм с приложением фотофиксации. В случае отсутствия акта осмотра данные работы считаются самовольными.</w:t>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Раздел 6 </w:t>
            </w:r>
            <w:r>
              <w:rPr>
                <w:rFonts w:eastAsia="Times New Roman" w:cs="Times New Roman" w:ascii="Times New Roman" w:hAnsi="Times New Roman"/>
                <w:sz w:val="18"/>
                <w:szCs w:val="18"/>
              </w:rPr>
              <w:t>Оформление исполнительной документации</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45</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Оформление исполнительной документации</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Раздел 7 </w:t>
            </w:r>
            <w:r>
              <w:rPr>
                <w:rFonts w:eastAsia="Times New Roman" w:cs="Times New Roman" w:ascii="Times New Roman" w:hAnsi="Times New Roman"/>
                <w:sz w:val="18"/>
                <w:szCs w:val="18"/>
              </w:rPr>
              <w:t>Восстановление благоустройства</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46</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Восстановление благоустройства</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Раздел 8 </w:t>
            </w:r>
            <w:r>
              <w:rPr>
                <w:rFonts w:eastAsia="Times New Roman" w:cs="Times New Roman" w:ascii="Times New Roman" w:hAnsi="Times New Roman"/>
                <w:sz w:val="18"/>
                <w:szCs w:val="18"/>
              </w:rPr>
              <w:t>Разрешение на осуществление земляных работ (ордер) и работ, влекущих нарушение благоустройства и (или) природного ландшафта</w:t>
            </w:r>
          </w:p>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Подраздел 1</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47</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Выдача, продление, закрытие разрешения на осуществление земляных работ (ордера)</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Подраздел 2</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48</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Получение разрешения на осуществление аварийных работ</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r>
        <w:trPr>
          <w:trHeight w:val="1050" w:hRule="atLeast"/>
        </w:trPr>
        <w:tc>
          <w:tcPr>
            <w:tcW w:w="2507"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sz w:val="18"/>
                <w:szCs w:val="18"/>
              </w:rPr>
            </w:pPr>
            <w:r>
              <w:rPr>
                <w:rFonts w:ascii="Times New Roman" w:hAnsi="Times New Roman"/>
                <w:sz w:val="18"/>
                <w:szCs w:val="18"/>
              </w:rPr>
            </w:r>
          </w:p>
        </w:tc>
        <w:tc>
          <w:tcPr>
            <w:tcW w:w="231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 xml:space="preserve">Глава VIII </w:t>
            </w:r>
            <w:r>
              <w:rPr>
                <w:rFonts w:eastAsia="Times New Roman" w:cs="Times New Roman" w:ascii="Times New Roman" w:hAnsi="Times New Roman"/>
                <w:sz w:val="18"/>
                <w:szCs w:val="18"/>
              </w:rPr>
              <w:t>Контроль исполнений Правил и ответственность за их нарушение</w:t>
            </w:r>
          </w:p>
        </w:tc>
        <w:tc>
          <w:tcPr>
            <w:tcW w:w="515"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cs="Times New Roman" w:ascii="Times New Roman" w:hAnsi="Times New Roman"/>
                <w:sz w:val="18"/>
                <w:szCs w:val="18"/>
              </w:rPr>
              <w:t>49</w:t>
            </w:r>
          </w:p>
        </w:tc>
        <w:tc>
          <w:tcPr>
            <w:tcW w:w="1810"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sz w:val="18"/>
                <w:szCs w:val="18"/>
              </w:rPr>
            </w:pPr>
            <w:r>
              <w:rPr>
                <w:rFonts w:eastAsia="Times New Roman" w:cs="Times New Roman" w:ascii="Times New Roman" w:hAnsi="Times New Roman"/>
                <w:sz w:val="18"/>
                <w:szCs w:val="18"/>
              </w:rPr>
              <w:t>Контроль исполнений Правил и ответственность за их нарушение</w:t>
            </w:r>
          </w:p>
        </w:tc>
        <w:tc>
          <w:tcPr>
            <w:tcW w:w="8224" w:type="dxa"/>
            <w:tcBorders>
              <w:top w:val="single" w:sz="4" w:space="0" w:color="000000"/>
              <w:left w:val="single" w:sz="4" w:space="0" w:color="000000"/>
              <w:bottom w:val="single" w:sz="4" w:space="0" w:color="000000"/>
              <w:right w:val="single" w:sz="4" w:space="0" w:color="000000"/>
            </w:tcBorders>
          </w:tcPr>
          <w:p>
            <w:pPr>
              <w:pStyle w:val="ConsPlusNormal"/>
              <w:spacing w:before="0" w:after="0"/>
              <w:rPr>
                <w:rFonts w:ascii="Times New Roman" w:hAnsi="Times New Roman" w:cs="Times New Roman"/>
                <w:sz w:val="18"/>
                <w:szCs w:val="18"/>
              </w:rPr>
            </w:pPr>
            <w:r>
              <w:rPr>
                <w:rFonts w:cs="Times New Roman" w:ascii="Times New Roman" w:hAnsi="Times New Roman"/>
                <w:sz w:val="18"/>
                <w:szCs w:val="18"/>
              </w:rPr>
            </w:r>
          </w:p>
        </w:tc>
      </w:tr>
    </w:tbl>
    <w:p>
      <w:pPr>
        <w:sectPr>
          <w:type w:val="nextPage"/>
          <w:pgSz w:orient="landscape" w:w="16838" w:h="11906"/>
          <w:pgMar w:left="2551" w:right="539" w:gutter="0" w:header="0" w:top="567" w:footer="0" w:bottom="851"/>
          <w:pgNumType w:fmt="decimal"/>
          <w:formProt w:val="false"/>
          <w:textDirection w:val="lrTb"/>
          <w:docGrid w:type="default" w:linePitch="360" w:charSpace="0"/>
        </w:sectPr>
      </w:pPr>
    </w:p>
    <w:p>
      <w:pPr>
        <w:pStyle w:val="Normal"/>
        <w:spacing w:lineRule="auto" w:line="240" w:before="0" w:after="0"/>
        <w:jc w:val="center"/>
        <w:rPr>
          <w:rFonts w:ascii="Times New Roman" w:hAnsi="Times New Roman" w:cs="Times New Roman"/>
          <w:b/>
          <w:bCs/>
          <w:sz w:val="26"/>
          <w:szCs w:val="26"/>
          <w:highlight w:val="none"/>
        </w:rPr>
      </w:pPr>
      <w:r>
        <w:rPr>
          <w:rFonts w:cs="Times New Roman"/>
          <w:b/>
          <w:bCs/>
          <w:sz w:val="26"/>
          <w:szCs w:val="26"/>
        </w:rPr>
        <w:t xml:space="preserve">2.3 Сведения о полномочиях на установление соответствующих </w:t>
      </w:r>
    </w:p>
    <w:p>
      <w:pPr>
        <w:pStyle w:val="Normal"/>
        <w:spacing w:lineRule="auto" w:line="240" w:before="0" w:after="0"/>
        <w:jc w:val="center"/>
        <w:rPr>
          <w:rFonts w:ascii="Times New Roman" w:hAnsi="Times New Roman" w:cs="Times New Roman"/>
          <w:sz w:val="26"/>
          <w:szCs w:val="26"/>
          <w:highlight w:val="none"/>
        </w:rPr>
      </w:pPr>
      <w:r>
        <w:rPr>
          <w:rFonts w:cs="Times New Roman"/>
          <w:b/>
          <w:bCs/>
          <w:sz w:val="26"/>
          <w:szCs w:val="26"/>
        </w:rPr>
        <w:t>обязательных требований</w:t>
      </w:r>
    </w:p>
    <w:p>
      <w:pPr>
        <w:pStyle w:val="Normal"/>
        <w:spacing w:lineRule="auto" w:line="240" w:before="0" w:after="0"/>
        <w:ind w:firstLine="709" w:left="0" w:right="0"/>
        <w:jc w:val="both"/>
        <w:rPr>
          <w:rFonts w:ascii="Arial" w:hAnsi="Arial" w:eastAsia="Arial" w:cs="Arial"/>
          <w:b w:val="false"/>
          <w:bCs w:val="false"/>
          <w:i w:val="false"/>
          <w:i w:val="false"/>
          <w:strike w:val="false"/>
          <w:dstrike w:val="false"/>
          <w:sz w:val="16"/>
          <w:szCs w:val="16"/>
        </w:rPr>
      </w:pPr>
      <w:r>
        <w:rPr>
          <w:rFonts w:cs="Times New Roman"/>
          <w:sz w:val="26"/>
          <w:szCs w:val="26"/>
        </w:rPr>
        <w:t xml:space="preserve">В соответствии с Федеральными законами от 06 октября 2003 года № 131-ФЗ «Об общих принципах организации местного самоуправления в Российской федерации»,        от 20 марта 2025 года № 33-ФЗ «Об общих принципах организации местного самоуправления в единой системе публичной власти» к вопросам местного значения относится утверждение правил благоустройства территории городского округа, осуществление </w:t>
      </w:r>
      <w:r>
        <w:rPr>
          <w:rFonts w:eastAsia="Times New Roman" w:cs="Times New Roman"/>
          <w:b w:val="false"/>
          <w:i w:val="false"/>
          <w:strike w:val="false"/>
          <w:dstrike w:val="false"/>
          <w:sz w:val="26"/>
          <w:szCs w:val="26"/>
        </w:rPr>
        <w:t>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p>
    <w:p>
      <w:pPr>
        <w:pStyle w:val="Normal"/>
        <w:shd w:val="clear" w:color="auto" w:fill="FFFFFF"/>
        <w:spacing w:lineRule="auto" w:line="240" w:before="0" w:after="0"/>
        <w:ind w:firstLine="709"/>
        <w:jc w:val="both"/>
        <w:rPr>
          <w:rFonts w:ascii="Times New Roman" w:hAnsi="Times New Roman" w:cs="Times New Roman"/>
          <w:color w:val="000000"/>
          <w:sz w:val="28"/>
          <w:szCs w:val="28"/>
        </w:rPr>
      </w:pPr>
      <w:r>
        <w:rPr>
          <w:rFonts w:cs="Times New Roman"/>
          <w:color w:val="000000"/>
          <w:sz w:val="28"/>
          <w:szCs w:val="28"/>
        </w:rPr>
      </w:r>
    </w:p>
    <w:p>
      <w:pPr>
        <w:pStyle w:val="Normal"/>
        <w:shd w:val="clear" w:color="auto" w:fill="FFFFFF"/>
        <w:spacing w:lineRule="auto" w:line="240" w:before="0" w:after="0"/>
        <w:ind w:firstLine="709"/>
        <w:jc w:val="center"/>
        <w:rPr>
          <w:rFonts w:ascii="Times New Roman" w:hAnsi="Times New Roman" w:cs="Times New Roman"/>
          <w:b/>
          <w:bCs/>
          <w:color w:val="000000"/>
          <w:sz w:val="26"/>
          <w:szCs w:val="26"/>
          <w:highlight w:val="none"/>
        </w:rPr>
      </w:pPr>
      <w:r>
        <w:rPr>
          <w:rFonts w:cs="Times New Roman"/>
          <w:b/>
          <w:bCs/>
          <w:color w:val="000000"/>
          <w:sz w:val="26"/>
          <w:szCs w:val="26"/>
        </w:rPr>
        <w:t xml:space="preserve">2.4 Срок действия муниципального нормативного правового акта, </w:t>
      </w:r>
      <w:r>
        <w:rPr>
          <w:rFonts w:cs="Times New Roman"/>
          <w:b/>
          <w:bCs/>
          <w:color w:val="000000"/>
          <w:sz w:val="26"/>
          <w:szCs w:val="26"/>
        </w:rPr>
        <w:t xml:space="preserve"> устанавливающего обязательные требования и его отдельных положений (при наличии такого периода)</w:t>
      </w:r>
    </w:p>
    <w:p>
      <w:pPr>
        <w:pStyle w:val="Normal"/>
        <w:shd w:val="clear" w:color="auto" w:fill="FFFFFF"/>
        <w:spacing w:lineRule="auto" w:line="240" w:before="0" w:after="0"/>
        <w:ind w:firstLine="709"/>
        <w:jc w:val="both"/>
        <w:rPr>
          <w:sz w:val="26"/>
          <w:szCs w:val="26"/>
        </w:rPr>
      </w:pPr>
      <w:r>
        <w:rPr>
          <w:rFonts w:cs="Times New Roman"/>
          <w:color w:val="000000"/>
          <w:sz w:val="26"/>
          <w:szCs w:val="26"/>
        </w:rPr>
        <w:t xml:space="preserve"> </w:t>
      </w:r>
      <w:r>
        <w:rPr>
          <w:rFonts w:cs="Times New Roman"/>
          <w:color w:val="000000"/>
          <w:sz w:val="26"/>
          <w:szCs w:val="26"/>
        </w:rPr>
        <w:t xml:space="preserve">Срок действия </w:t>
      </w:r>
      <w:r>
        <w:rPr>
          <w:rFonts w:cs="Times New Roman"/>
          <w:color w:val="000000"/>
          <w:sz w:val="26"/>
          <w:szCs w:val="26"/>
        </w:rPr>
        <w:t>постоянный.</w:t>
      </w:r>
    </w:p>
    <w:p>
      <w:pPr>
        <w:pStyle w:val="Normal"/>
        <w:shd w:val="clear" w:color="auto" w:fill="FFFFFF"/>
        <w:spacing w:lineRule="auto" w:line="240" w:before="0" w:after="0"/>
        <w:ind w:firstLine="709"/>
        <w:jc w:val="both"/>
        <w:rPr>
          <w:rFonts w:ascii="Times New Roman" w:hAnsi="Times New Roman" w:cs="Times New Roman"/>
          <w:sz w:val="26"/>
          <w:szCs w:val="26"/>
        </w:rPr>
      </w:pPr>
      <w:r>
        <w:rPr>
          <w:rFonts w:cs="Times New Roman"/>
          <w:sz w:val="26"/>
          <w:szCs w:val="26"/>
        </w:rPr>
      </w:r>
    </w:p>
    <w:p>
      <w:pPr>
        <w:pStyle w:val="Normal"/>
        <w:shd w:val="clear" w:color="auto" w:fill="FFFFFF"/>
        <w:spacing w:lineRule="auto" w:line="240" w:before="0" w:after="0"/>
        <w:ind w:firstLine="709"/>
        <w:jc w:val="center"/>
        <w:rPr>
          <w:rFonts w:ascii="Times New Roman" w:hAnsi="Times New Roman" w:cs="Times New Roman"/>
          <w:b/>
          <w:bCs/>
          <w:sz w:val="26"/>
          <w:szCs w:val="26"/>
          <w:highlight w:val="none"/>
        </w:rPr>
      </w:pPr>
      <w:r>
        <w:rPr>
          <w:rFonts w:cs="Times New Roman"/>
          <w:b/>
          <w:bCs/>
          <w:sz w:val="26"/>
          <w:szCs w:val="26"/>
        </w:rPr>
        <w:t xml:space="preserve">3. Результаты оценки достижения целей введения обязательных требований, содержащихся в Правилах благоустройства </w:t>
      </w:r>
    </w:p>
    <w:p>
      <w:pPr>
        <w:pStyle w:val="Normal"/>
        <w:shd w:val="clear" w:color="auto" w:fill="FFFFFF"/>
        <w:spacing w:lineRule="auto" w:line="240" w:before="0" w:after="0"/>
        <w:ind w:firstLine="709"/>
        <w:jc w:val="both"/>
        <w:rPr>
          <w:rFonts w:ascii="Times New Roman" w:hAnsi="Times New Roman" w:cs="Times New Roman"/>
          <w:b/>
          <w:bCs/>
          <w:sz w:val="26"/>
          <w:szCs w:val="26"/>
          <w:highlight w:val="none"/>
        </w:rPr>
      </w:pPr>
      <w:r>
        <w:rPr>
          <w:rFonts w:cs="Times New Roman"/>
          <w:b/>
          <w:bCs/>
          <w:sz w:val="26"/>
          <w:szCs w:val="26"/>
        </w:rPr>
        <w:t>3.1 Достижение целей введения обязательных требований (снижение риска причинения вреда (ущерба) охраняемым законом ценностям, на устранение которого направлено установление соответствующих обязательных требований)</w:t>
      </w:r>
    </w:p>
    <w:p>
      <w:pPr>
        <w:pStyle w:val="ConsPlusNormal"/>
        <w:ind w:firstLine="540" w:left="0" w:right="0"/>
        <w:jc w:val="both"/>
        <w:rPr>
          <w:rFonts w:ascii="Times New Roman" w:hAnsi="Times New Roman" w:cs="Times New Roman"/>
          <w:sz w:val="28"/>
          <w:szCs w:val="28"/>
        </w:rPr>
      </w:pPr>
      <w:r>
        <w:rPr>
          <w:rFonts w:cs="Times New Roman" w:ascii="Times New Roman" w:hAnsi="Times New Roman"/>
          <w:sz w:val="26"/>
          <w:szCs w:val="26"/>
        </w:rPr>
        <w:t xml:space="preserve">Целью введения обязательных требований является </w:t>
      </w:r>
      <w:r>
        <w:rPr>
          <w:rFonts w:cs="Times New Roman" w:ascii="Times New Roman" w:hAnsi="Times New Roman"/>
          <w:sz w:val="26"/>
          <w:szCs w:val="26"/>
          <w:shd w:fill="FFFFFF" w:val="clear"/>
        </w:rPr>
        <w:t>упорядочение публично-правовых отношений по обеспечению и повышению комфортности условий проживания граждан, поддержанию и улучшению санитарного и эстетического состояния территории,</w:t>
      </w:r>
      <w:r>
        <w:rPr>
          <w:rFonts w:cs="Times New Roman" w:ascii="Times New Roman" w:hAnsi="Times New Roman"/>
          <w:sz w:val="26"/>
          <w:szCs w:val="26"/>
        </w:rPr>
        <w:t xml:space="preserve"> снижение (устранение) следующих рисков причинения вреда охраняемым законом ценностям:</w:t>
      </w:r>
    </w:p>
    <w:p>
      <w:pPr>
        <w:pStyle w:val="Normal"/>
        <w:ind w:firstLine="708"/>
        <w:jc w:val="both"/>
        <w:rPr>
          <w:rFonts w:ascii="Times New Roman" w:hAnsi="Times New Roman" w:cs="Times New Roman"/>
          <w:sz w:val="28"/>
          <w:szCs w:val="28"/>
        </w:rPr>
      </w:pPr>
      <w:r>
        <w:rPr>
          <w:rFonts w:cs="Times New Roman"/>
          <w:sz w:val="26"/>
          <w:szCs w:val="26"/>
        </w:rPr>
        <w:t>Поступление в орган муниципального контроля обращения гражданина или организации,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w:t>
      </w:r>
    </w:p>
    <w:p>
      <w:pPr>
        <w:pStyle w:val="ListParagraph"/>
        <w:widowControl w:val="false"/>
        <w:numPr>
          <w:ilvl w:val="0"/>
          <w:numId w:val="2"/>
        </w:numPr>
        <w:spacing w:before="0" w:after="0"/>
        <w:ind w:firstLine="720" w:left="0"/>
        <w:contextualSpacing/>
        <w:jc w:val="both"/>
        <w:rPr>
          <w:rFonts w:ascii="Times New Roman" w:hAnsi="Times New Roman" w:cs="Times New Roman"/>
          <w:sz w:val="28"/>
          <w:szCs w:val="28"/>
        </w:rPr>
      </w:pPr>
      <w:r>
        <w:rPr>
          <w:rFonts w:cs="Times New Roman"/>
          <w:sz w:val="26"/>
          <w:szCs w:val="26"/>
        </w:rPr>
        <w:t>Отсутствие у контролируемого лица разрешений о согласовании изменений фасадов, ограждающих конструкций, входных групп, навесных металлических конструкций, оконных проемов на зданиях (сооружениях), многоквартирных домах;</w:t>
      </w:r>
    </w:p>
    <w:p>
      <w:pPr>
        <w:pStyle w:val="ListParagraph"/>
        <w:widowControl w:val="false"/>
        <w:numPr>
          <w:ilvl w:val="0"/>
          <w:numId w:val="2"/>
        </w:numPr>
        <w:spacing w:before="0" w:after="0"/>
        <w:ind w:firstLine="720" w:left="0"/>
        <w:contextualSpacing/>
        <w:jc w:val="both"/>
        <w:rPr>
          <w:rFonts w:ascii="Times New Roman" w:hAnsi="Times New Roman" w:cs="Times New Roman"/>
          <w:sz w:val="28"/>
          <w:szCs w:val="28"/>
        </w:rPr>
      </w:pPr>
      <w:r>
        <w:rPr>
          <w:rFonts w:cs="Times New Roman"/>
          <w:sz w:val="26"/>
          <w:szCs w:val="26"/>
        </w:rPr>
        <w:t xml:space="preserve"> </w:t>
      </w:r>
      <w:r>
        <w:rPr>
          <w:rFonts w:cs="Times New Roman"/>
          <w:sz w:val="26"/>
          <w:szCs w:val="26"/>
        </w:rPr>
        <w:t>Отсутствие у контролируемого лица разрешений о согласовании размещения, вывесок, баннеров, объявлений, указателей;</w:t>
      </w:r>
    </w:p>
    <w:p>
      <w:pPr>
        <w:pStyle w:val="ListParagraph"/>
        <w:widowControl w:val="false"/>
        <w:numPr>
          <w:ilvl w:val="0"/>
          <w:numId w:val="2"/>
        </w:numPr>
        <w:spacing w:before="0" w:after="0"/>
        <w:ind w:firstLine="720" w:left="0"/>
        <w:contextualSpacing/>
        <w:jc w:val="both"/>
        <w:rPr>
          <w:rFonts w:ascii="Times New Roman" w:hAnsi="Times New Roman" w:cs="Times New Roman"/>
          <w:sz w:val="28"/>
          <w:szCs w:val="28"/>
        </w:rPr>
      </w:pPr>
      <w:r>
        <w:rPr>
          <w:rFonts w:cs="Times New Roman"/>
          <w:sz w:val="26"/>
          <w:szCs w:val="26"/>
        </w:rPr>
        <w:t>Отсутствие у контролируемого лица разрешения на торговлю, в том числе развозную, а также оказание бытовых услуг и услуг общественного питания на территории городского округа;</w:t>
      </w:r>
    </w:p>
    <w:p>
      <w:pPr>
        <w:pStyle w:val="ListParagraph"/>
        <w:widowControl w:val="false"/>
        <w:numPr>
          <w:ilvl w:val="0"/>
          <w:numId w:val="2"/>
        </w:numPr>
        <w:spacing w:before="0" w:after="0"/>
        <w:ind w:firstLine="720" w:left="0"/>
        <w:contextualSpacing/>
        <w:jc w:val="both"/>
        <w:rPr>
          <w:rFonts w:ascii="Times New Roman" w:hAnsi="Times New Roman" w:cs="Times New Roman"/>
          <w:sz w:val="28"/>
          <w:szCs w:val="28"/>
        </w:rPr>
      </w:pPr>
      <w:r>
        <w:rPr>
          <w:rFonts w:cs="Times New Roman"/>
          <w:sz w:val="26"/>
          <w:szCs w:val="26"/>
        </w:rPr>
        <w:t>Отсутствие у контролируемого лица разрешений на использование территории, оформленных сервитутов;</w:t>
      </w:r>
    </w:p>
    <w:p>
      <w:pPr>
        <w:pStyle w:val="ListParagraph"/>
        <w:widowControl w:val="false"/>
        <w:numPr>
          <w:ilvl w:val="0"/>
          <w:numId w:val="2"/>
        </w:numPr>
        <w:spacing w:before="0" w:after="0"/>
        <w:ind w:firstLine="720" w:left="0"/>
        <w:contextualSpacing/>
        <w:jc w:val="both"/>
        <w:rPr>
          <w:rFonts w:ascii="Times New Roman" w:hAnsi="Times New Roman" w:cs="Times New Roman"/>
          <w:sz w:val="28"/>
          <w:szCs w:val="28"/>
        </w:rPr>
      </w:pPr>
      <w:r>
        <w:rPr>
          <w:rFonts w:cs="Times New Roman"/>
          <w:sz w:val="26"/>
          <w:szCs w:val="26"/>
        </w:rPr>
        <w:t>Отсутствие у контролируемого лица разрешений на складирование на срок более 15 дней на землях общего пользования строительных материалов и пр.;</w:t>
      </w:r>
    </w:p>
    <w:p>
      <w:pPr>
        <w:pStyle w:val="ListParagraph"/>
        <w:widowControl w:val="false"/>
        <w:numPr>
          <w:ilvl w:val="0"/>
          <w:numId w:val="2"/>
        </w:numPr>
        <w:spacing w:before="0" w:after="0"/>
        <w:ind w:firstLine="720" w:left="0"/>
        <w:contextualSpacing/>
        <w:jc w:val="both"/>
        <w:rPr>
          <w:rFonts w:ascii="Times New Roman" w:hAnsi="Times New Roman" w:cs="Times New Roman"/>
          <w:sz w:val="28"/>
          <w:szCs w:val="28"/>
        </w:rPr>
      </w:pPr>
      <w:r>
        <w:rPr>
          <w:rFonts w:cs="Times New Roman"/>
          <w:sz w:val="26"/>
          <w:szCs w:val="26"/>
        </w:rPr>
        <w:t xml:space="preserve">Фиксация посредством выявления в ходе контрольных (надзорных) мероприятий без взаимодействия два и более раз за 30 календарных дней несоответствия данных об исполнении работ по обеспечению пожарной безопасности, санитарных норм на землях общего пользования, находящихся с муниципальной собственности; </w:t>
      </w:r>
    </w:p>
    <w:p>
      <w:pPr>
        <w:pStyle w:val="ListParagraph"/>
        <w:widowControl w:val="false"/>
        <w:numPr>
          <w:ilvl w:val="0"/>
          <w:numId w:val="2"/>
        </w:numPr>
        <w:spacing w:before="0" w:after="0"/>
        <w:ind w:firstLine="720" w:left="0"/>
        <w:contextualSpacing/>
        <w:jc w:val="both"/>
        <w:rPr>
          <w:rFonts w:ascii="Times New Roman" w:hAnsi="Times New Roman" w:cs="Times New Roman"/>
          <w:sz w:val="28"/>
          <w:szCs w:val="28"/>
        </w:rPr>
      </w:pPr>
      <w:r>
        <w:rPr>
          <w:rFonts w:cs="Times New Roman"/>
          <w:sz w:val="26"/>
          <w:szCs w:val="26"/>
        </w:rPr>
        <w:t>Фиксация посредством выявления в ходе контрольных (надзорных) мероприятий без взаимодействия два и более раз за 5 рабочих дней наличия строительной техники, приспособлений, инвентаря, а также признаков земляных, строительных работ по истечении 5 дней после окончания срока, установленного в разрешении (ордере) на производство (строительство) земляных работ.</w:t>
      </w:r>
    </w:p>
    <w:p>
      <w:pPr>
        <w:pStyle w:val="ListParagraph"/>
        <w:widowControl w:val="false"/>
        <w:numPr>
          <w:ilvl w:val="0"/>
          <w:numId w:val="2"/>
        </w:numPr>
        <w:spacing w:before="0" w:after="0"/>
        <w:ind w:firstLine="720" w:left="0"/>
        <w:contextualSpacing/>
        <w:jc w:val="both"/>
        <w:rPr>
          <w:rFonts w:ascii="Times New Roman" w:hAnsi="Times New Roman" w:cs="Times New Roman"/>
          <w:sz w:val="28"/>
          <w:szCs w:val="28"/>
        </w:rPr>
      </w:pPr>
      <w:r>
        <w:rPr>
          <w:rFonts w:cs="Times New Roman"/>
          <w:sz w:val="26"/>
          <w:szCs w:val="26"/>
        </w:rPr>
        <w:t xml:space="preserve"> </w:t>
      </w:r>
      <w:r>
        <w:rPr>
          <w:rFonts w:cs="Times New Roman"/>
          <w:sz w:val="26"/>
          <w:szCs w:val="26"/>
        </w:rPr>
        <w:t>Фиксация посредством выявления в ходе контрольных (надзорных) мероприятий без взаимодействия два и более раз за 5 дней наличия строительной техники, приспособлений, инвентаря, а также признаков земляных, строительных работ, влекущих повреждение или уничтожение зеленых насаждений, нарушении конструкций дорог, тротуаров, других объектов благоустройства, без письменного разрешения (ордера).</w:t>
      </w:r>
    </w:p>
    <w:p>
      <w:pPr>
        <w:pStyle w:val="ConsPlusNormal"/>
        <w:ind w:firstLine="540" w:right="281"/>
        <w:jc w:val="both"/>
        <w:rPr>
          <w:rFonts w:ascii="Times New Roman" w:hAnsi="Times New Roman" w:cs="Times New Roman"/>
          <w:sz w:val="26"/>
          <w:szCs w:val="26"/>
        </w:rPr>
      </w:pPr>
      <w:r>
        <w:rPr>
          <w:rFonts w:cs="Times New Roman" w:ascii="Times New Roman" w:hAnsi="Times New Roman"/>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t>3.2 Сведения об уровне соблюдения обязательных требований, в том числе данные о привлечении к ответственности за нарушения указанных требований</w:t>
      </w:r>
    </w:p>
    <w:p>
      <w:pPr>
        <w:pStyle w:val="Normal"/>
        <w:spacing w:lineRule="auto" w:line="242" w:before="0" w:after="0"/>
        <w:ind w:firstLine="540" w:left="0" w:right="0"/>
        <w:jc w:val="both"/>
        <w:rPr>
          <w:rFonts w:ascii="Times New Roman" w:hAnsi="Times New Roman" w:cs="Times New Roman"/>
          <w:b w:val="false"/>
          <w:bCs w:val="false"/>
          <w:sz w:val="26"/>
          <w:szCs w:val="26"/>
          <w:highlight w:val="none"/>
        </w:rPr>
      </w:pPr>
      <w:r>
        <w:rPr>
          <w:rFonts w:cs="Times New Roman"/>
          <w:b w:val="false"/>
          <w:bCs w:val="false"/>
          <w:sz w:val="26"/>
          <w:szCs w:val="26"/>
        </w:rPr>
        <w:t>Муниципальный контроль в сфере благоустройства осуществляется с учетом положений Постановления Правительства РФ от 10.03.2022 № 336 «Об особенностях организации и осуществления государственного контроля (надзора), муниципального контроля», которым установлен мораторий на проведение контрольных (надзорных) мероприятий при осуществлении муниципального контроля с сфере благоустройства.</w:t>
      </w:r>
    </w:p>
    <w:p>
      <w:pPr>
        <w:pStyle w:val="Normal"/>
        <w:spacing w:lineRule="auto" w:line="242" w:before="0" w:after="0"/>
        <w:ind w:firstLine="540" w:left="0" w:right="0"/>
        <w:jc w:val="both"/>
        <w:rPr>
          <w:rFonts w:ascii="Times New Roman" w:hAnsi="Times New Roman" w:cs="Times New Roman"/>
          <w:sz w:val="26"/>
          <w:szCs w:val="26"/>
        </w:rPr>
      </w:pPr>
      <w:r>
        <w:rPr>
          <w:rFonts w:cs="Times New Roman"/>
          <w:sz w:val="26"/>
          <w:szCs w:val="26"/>
        </w:rPr>
        <w:t xml:space="preserve">Обязательные требования, предусмотренные Правилами благоустройства, соответствуют признакам, предусмотренным </w:t>
      </w:r>
      <w:hyperlink r:id="rId42" w:tooltip="consultantplus://offline/ref=977DF53A9624D5ADBF75CC48931DE292E78B8E0A57343B43F23889E024643DC35E3EF18646C9CEF9928481D29719FAB168927B76DFB8027E5B7CH">
        <w:r>
          <w:rPr>
            <w:rStyle w:val="Style"/>
            <w:rFonts w:cs="Times New Roman"/>
            <w:sz w:val="26"/>
            <w:szCs w:val="26"/>
          </w:rPr>
          <w:t>ч. 1 ст. 5</w:t>
        </w:r>
      </w:hyperlink>
      <w:r>
        <w:rPr>
          <w:rFonts w:cs="Times New Roman"/>
          <w:sz w:val="26"/>
          <w:szCs w:val="26"/>
        </w:rPr>
        <w:t xml:space="preserve"> ФЗ № 247, действуют исключительно в</w:t>
      </w:r>
      <w:r>
        <w:rPr>
          <w:rFonts w:eastAsia="Times New Roman" w:cs="Times New Roman"/>
          <w:sz w:val="26"/>
          <w:szCs w:val="26"/>
        </w:rPr>
        <w:t xml:space="preserve"> </w:t>
      </w:r>
      <w:r>
        <w:rPr>
          <w:rFonts w:eastAsia="Times New Roman" w:cs="Times New Roman"/>
          <w:b w:val="false"/>
          <w:i w:val="false"/>
          <w:strike w:val="false"/>
          <w:dstrike w:val="false"/>
          <w:sz w:val="26"/>
          <w:szCs w:val="26"/>
        </w:rPr>
        <w:t>целях защиты жизни, здоровья людей, нравственности, прав и законных интересов граждан и организаций, непричинения вреда (ущерба) животным, растениям, окружающей среде, обороне страны и безопасности государства, объектам культурного наследия, защиты иных охраняемых законом ценностей</w:t>
      </w:r>
      <w:r>
        <w:rPr>
          <w:rFonts w:cs="Times New Roman"/>
          <w:sz w:val="26"/>
          <w:szCs w:val="26"/>
        </w:rPr>
        <w:t xml:space="preserve">. </w:t>
      </w:r>
    </w:p>
    <w:p>
      <w:pPr>
        <w:pStyle w:val="Normal"/>
        <w:spacing w:lineRule="auto" w:line="242" w:before="0" w:after="0"/>
        <w:ind w:firstLine="540" w:left="0" w:right="0"/>
        <w:jc w:val="both"/>
        <w:rPr>
          <w:rFonts w:ascii="Times New Roman" w:hAnsi="Times New Roman" w:cs="Times New Roman"/>
          <w:sz w:val="26"/>
          <w:szCs w:val="26"/>
        </w:rPr>
      </w:pPr>
      <w:r>
        <w:rPr>
          <w:rFonts w:cs="Times New Roman"/>
          <w:sz w:val="26"/>
          <w:szCs w:val="26"/>
        </w:rPr>
        <w:t xml:space="preserve">Соблюдение обязательных требований влияет на снижение (устранение) </w:t>
      </w:r>
      <w:r>
        <w:rPr>
          <w:rFonts w:eastAsia="Times New Roman" w:cs="Times New Roman"/>
          <w:sz w:val="26"/>
          <w:szCs w:val="26"/>
        </w:rPr>
        <w:t>риска причинения вреда (ущерба) в рамках осуществления муниципального контроля в сфере благоустройства, в том числе приводит к уменьшению (отсутствию) в течение предшествующего года у контролируемого лица в процессе осуществления его деятельности случаев гибели и (или) травмирования в результате нарушения обязательных требований в сфере благоустройства на территории городского округа.</w:t>
      </w:r>
    </w:p>
    <w:p>
      <w:pPr>
        <w:pStyle w:val="Normal"/>
        <w:spacing w:lineRule="auto" w:line="240" w:before="0" w:after="0"/>
        <w:ind w:firstLine="709" w:left="0" w:right="0"/>
        <w:jc w:val="both"/>
        <w:rPr>
          <w:rFonts w:ascii="Times New Roman" w:hAnsi="Times New Roman" w:cs="Times New Roman"/>
          <w:sz w:val="26"/>
          <w:szCs w:val="26"/>
        </w:rPr>
      </w:pPr>
      <w:r>
        <w:rPr>
          <w:rFonts w:eastAsia="Times New Roman" w:cs="Times New Roman"/>
          <w:sz w:val="26"/>
          <w:szCs w:val="26"/>
        </w:rPr>
        <w:t xml:space="preserve">  </w:t>
      </w:r>
      <w:r>
        <w:rPr>
          <w:rFonts w:eastAsia="Times New Roman" w:cs="Times New Roman"/>
          <w:sz w:val="26"/>
          <w:szCs w:val="26"/>
        </w:rPr>
        <w:t>На объектах контроля в течение предшествующего года наблюдается снижение нарушений следующих обязательных требований в сфере благоустройства на территории городского округа:</w:t>
      </w:r>
    </w:p>
    <w:p>
      <w:pPr>
        <w:pStyle w:val="ConsPlusNormal"/>
        <w:numPr>
          <w:ilvl w:val="0"/>
          <w:numId w:val="4"/>
        </w:numPr>
        <w:spacing w:before="0" w:after="0"/>
        <w:ind w:firstLine="709" w:left="0" w:right="0"/>
        <w:jc w:val="both"/>
        <w:rPr>
          <w:rFonts w:ascii="Times New Roman" w:hAnsi="Times New Roman" w:cs="Times New Roman"/>
          <w:b w:val="false"/>
          <w:bCs w:val="false"/>
          <w:sz w:val="26"/>
          <w:szCs w:val="26"/>
          <w:highlight w:val="none"/>
        </w:rPr>
      </w:pPr>
      <w:r>
        <w:rPr>
          <w:rFonts w:eastAsia="Times New Roman" w:cs="Times New Roman" w:ascii="Times New Roman" w:hAnsi="Times New Roman"/>
          <w:sz w:val="26"/>
          <w:szCs w:val="26"/>
        </w:rPr>
        <w:t xml:space="preserve">    </w:t>
      </w:r>
      <w:r>
        <w:rPr>
          <w:rFonts w:eastAsia="Times New Roman" w:cs="Times New Roman" w:ascii="Times New Roman" w:hAnsi="Times New Roman"/>
          <w:sz w:val="26"/>
          <w:szCs w:val="26"/>
        </w:rPr>
        <w:t>использование газонов, детских, спортивных площадок, арок зданий не по целевому назначению, в том числе оставление механических транспортных средств на газонах, озелененных территориях, детских и спортивных площадках;</w:t>
      </w:r>
    </w:p>
    <w:p>
      <w:pPr>
        <w:pStyle w:val="Normal"/>
        <w:numPr>
          <w:ilvl w:val="0"/>
          <w:numId w:val="4"/>
        </w:numPr>
        <w:spacing w:lineRule="auto" w:line="240" w:before="0" w:after="0"/>
        <w:ind w:firstLine="709" w:left="0"/>
        <w:jc w:val="both"/>
        <w:rPr>
          <w:rFonts w:ascii="TimesNewRomanCYR" w:hAnsi="TimesNewRomanCYR" w:eastAsia="TimesNewRomanCYR" w:cs="TimesNewRomanCYR"/>
          <w:sz w:val="26"/>
          <w:szCs w:val="26"/>
        </w:rPr>
      </w:pPr>
      <w:r>
        <w:rPr>
          <w:rFonts w:eastAsia="Times New Roman" w:cs="Times New Roman"/>
          <w:sz w:val="26"/>
          <w:szCs w:val="26"/>
        </w:rPr>
        <w:t>не осуществление мероприятий по содержанию и благоустройств</w:t>
      </w:r>
      <w:r>
        <w:rPr>
          <w:rFonts w:eastAsia="TimesNewRomanCYR" w:cs="TimesNewRomanCYR" w:ascii="TimesNewRomanCYR" w:hAnsi="TimesNewRomanCYR"/>
          <w:sz w:val="26"/>
          <w:szCs w:val="26"/>
        </w:rPr>
        <w:t>у территории границы прилегающей территории для нежилых помещений многоквартирного дома, - в длину - по длине занимаемого нежилого помещения; - по ширине - в случае размещения нежилого помещения с фасадной стороны здания - до края проезжей части дороги, за исключением случаев, когда обязательства по содержанию возложены на других лиц;</w:t>
      </w:r>
    </w:p>
    <w:p>
      <w:pPr>
        <w:pStyle w:val="ConsPlusNormal"/>
        <w:numPr>
          <w:ilvl w:val="0"/>
          <w:numId w:val="4"/>
        </w:numPr>
        <w:spacing w:before="0" w:after="0"/>
        <w:ind w:firstLine="709" w:left="0" w:right="0"/>
        <w:jc w:val="both"/>
        <w:rPr>
          <w:rFonts w:ascii="Times New Roman" w:hAnsi="Times New Roman" w:cs="Times New Roman"/>
          <w:b w:val="false"/>
          <w:bCs w:val="false"/>
          <w:sz w:val="26"/>
          <w:szCs w:val="26"/>
          <w:highlight w:val="none"/>
        </w:rPr>
      </w:pPr>
      <w:r>
        <w:rPr>
          <w:rFonts w:eastAsia="TimesNewRomanCYR" w:cs="TimesNewRomanCYR" w:ascii="TimesNewRomanCYR" w:hAnsi="TimesNewRomanCYR"/>
          <w:sz w:val="26"/>
          <w:szCs w:val="26"/>
        </w:rPr>
        <w:t>складирования строительного мусора, грунта, отходов строительного производства вне специально отведенных мест (площадок) накопления таких отходов, а также на контейнерных площадках для накопления ТКО;</w:t>
      </w:r>
    </w:p>
    <w:p>
      <w:pPr>
        <w:pStyle w:val="ConsPlusNormal"/>
        <w:numPr>
          <w:ilvl w:val="0"/>
          <w:numId w:val="4"/>
        </w:numPr>
        <w:spacing w:before="0" w:after="0"/>
        <w:ind w:firstLine="709" w:left="0" w:right="0"/>
        <w:jc w:val="both"/>
        <w:rPr>
          <w:rFonts w:ascii="Times New Roman" w:hAnsi="Times New Roman" w:cs="Times New Roman"/>
          <w:b w:val="false"/>
          <w:bCs w:val="false"/>
          <w:sz w:val="26"/>
          <w:szCs w:val="26"/>
          <w:highlight w:val="none"/>
        </w:rPr>
      </w:pPr>
      <w:r>
        <w:rPr>
          <w:rFonts w:eastAsia="TimesNewRomanCYR" w:cs="TimesNewRomanCYR" w:ascii="TimesNewRomanCYR" w:hAnsi="TimesNewRomanCYR"/>
          <w:sz w:val="26"/>
          <w:szCs w:val="26"/>
        </w:rPr>
        <w:t>нарушения надлежащего санитарно-технического состояния остановочных павильонов либо остановочных комплексов;</w:t>
      </w:r>
    </w:p>
    <w:p>
      <w:pPr>
        <w:pStyle w:val="Normal"/>
        <w:numPr>
          <w:ilvl w:val="0"/>
          <w:numId w:val="4"/>
        </w:numPr>
        <w:spacing w:lineRule="auto" w:line="240" w:before="0" w:after="0"/>
        <w:ind w:firstLine="709" w:left="0"/>
        <w:jc w:val="both"/>
        <w:rPr>
          <w:rFonts w:ascii="TimesNewRomanCYR" w:hAnsi="TimesNewRomanCYR" w:eastAsia="TimesNewRomanCYR" w:cs="TimesNewRomanCYR"/>
          <w:sz w:val="26"/>
          <w:szCs w:val="26"/>
        </w:rPr>
      </w:pPr>
      <w:r>
        <w:rPr>
          <w:rFonts w:eastAsia="TimesNewRomanCYR" w:cs="TimesNewRomanCYR" w:ascii="TimesNewRomanCYR" w:hAnsi="TimesNewRomanCYR"/>
          <w:sz w:val="26"/>
          <w:szCs w:val="26"/>
        </w:rPr>
        <w:t>нарушения срока закрытия разрешений на осуществление земляных работ (ордер), не проведение полного восстановления благоустройства;</w:t>
      </w:r>
    </w:p>
    <w:p>
      <w:pPr>
        <w:pStyle w:val="ConsPlusNormal"/>
        <w:numPr>
          <w:ilvl w:val="0"/>
          <w:numId w:val="4"/>
        </w:numPr>
        <w:spacing w:before="0" w:after="0"/>
        <w:ind w:firstLine="709" w:left="0" w:right="281"/>
        <w:jc w:val="both"/>
        <w:rPr>
          <w:rFonts w:ascii="Times New Roman" w:hAnsi="Times New Roman" w:cs="Times New Roman"/>
          <w:b w:val="false"/>
          <w:bCs w:val="false"/>
          <w:sz w:val="26"/>
          <w:szCs w:val="26"/>
          <w:highlight w:val="none"/>
        </w:rPr>
      </w:pPr>
      <w:r>
        <w:rPr>
          <w:rFonts w:eastAsia="TimesNewRomanCYR" w:cs="TimesNewRomanCYR" w:ascii="TimesNewRomanCYR" w:hAnsi="TimesNewRomanCYR"/>
          <w:sz w:val="26"/>
          <w:szCs w:val="26"/>
        </w:rPr>
        <w:t>нарушения при размещении Вывесок;</w:t>
      </w:r>
    </w:p>
    <w:p>
      <w:pPr>
        <w:pStyle w:val="ConsPlusNormal"/>
        <w:numPr>
          <w:ilvl w:val="0"/>
          <w:numId w:val="4"/>
        </w:numPr>
        <w:spacing w:before="0" w:after="0"/>
        <w:ind w:firstLine="709" w:left="0" w:right="0"/>
        <w:jc w:val="both"/>
        <w:rPr>
          <w:rFonts w:ascii="Times New Roman" w:hAnsi="Times New Roman" w:cs="Times New Roman"/>
          <w:b w:val="false"/>
          <w:bCs w:val="false"/>
          <w:sz w:val="26"/>
          <w:szCs w:val="26"/>
          <w:highlight w:val="none"/>
        </w:rPr>
      </w:pPr>
      <w:r>
        <w:rPr>
          <w:rFonts w:eastAsia="TimesNewRomanCYR" w:cs="TimesNewRomanCYR" w:ascii="TimesNewRomanCYR" w:hAnsi="TimesNewRomanCYR"/>
          <w:sz w:val="26"/>
          <w:szCs w:val="26"/>
        </w:rPr>
        <w:t>нарушения при содержании фасада нежилых помещений, устранение загрязнений, не проведение поддерживающего ремонта элементов фасада и т.д.</w:t>
      </w:r>
    </w:p>
    <w:p>
      <w:pPr>
        <w:pStyle w:val="ConsPlusNormal"/>
        <w:ind w:firstLine="540" w:left="0" w:right="0"/>
        <w:jc w:val="both"/>
        <w:rPr>
          <w:rFonts w:ascii="Times New Roman" w:hAnsi="Times New Roman" w:cs="Times New Roman"/>
          <w:b w:val="false"/>
          <w:bCs w:val="false"/>
          <w:sz w:val="26"/>
          <w:szCs w:val="26"/>
          <w:highlight w:val="none"/>
        </w:rPr>
      </w:pPr>
      <w:r>
        <w:rPr>
          <w:rFonts w:cs="Times New Roman" w:ascii="Times New Roman" w:hAnsi="Times New Roman"/>
          <w:b w:val="false"/>
          <w:bCs w:val="false"/>
          <w:sz w:val="26"/>
          <w:szCs w:val="26"/>
        </w:rPr>
        <w:t>Контрольные (надзорные) мероприятий за соблюдением обязательных требований без взаимодействия с контролируемым лицом проводятся в форме внеплановых проверок в порядке и с соблюдением процедур, установленных Законом № 248-ФЗ.</w:t>
      </w:r>
    </w:p>
    <w:p>
      <w:pPr>
        <w:pStyle w:val="ConsPlusNormal"/>
        <w:ind w:firstLine="540" w:left="0" w:right="0"/>
        <w:jc w:val="both"/>
        <w:rPr>
          <w:rFonts w:ascii="Times New Roman" w:hAnsi="Times New Roman" w:cs="Times New Roman"/>
          <w:b w:val="false"/>
          <w:bCs w:val="false"/>
          <w:sz w:val="26"/>
          <w:szCs w:val="26"/>
          <w:highlight w:val="none"/>
        </w:rPr>
      </w:pPr>
      <w:r>
        <w:rPr>
          <w:rFonts w:cs="Times New Roman" w:ascii="Times New Roman" w:hAnsi="Times New Roman"/>
          <w:b w:val="false"/>
          <w:bCs w:val="false"/>
          <w:sz w:val="26"/>
          <w:szCs w:val="26"/>
        </w:rPr>
        <w:t>В 2025 году выдано 16 предписаний за нарушение обязательных требований из них выполнено 10. На рассмотрение мировым судьям направлено 9 дел (с учетом не закрытых предписаний 2024 года).</w:t>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sectPr>
          <w:type w:val="nextPage"/>
          <w:pgSz w:w="11906" w:h="16838"/>
          <w:pgMar w:left="1276" w:right="566" w:gutter="0" w:header="0" w:top="1134" w:footer="0" w:bottom="709"/>
          <w:pgNumType w:fmt="decimal"/>
          <w:formProt w:val="false"/>
          <w:textDirection w:val="lrTb"/>
          <w:docGrid w:type="default" w:linePitch="360" w:charSpace="0"/>
        </w:sect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t>3.3 Количество и содержание обращений контролируемых лиц в орган, осуществляющий контроль в соответствующей сфере, связанных с применением обязательных требований</w:t>
      </w:r>
    </w:p>
    <w:p>
      <w:pPr>
        <w:pStyle w:val="ConsPlusNormal"/>
        <w:ind w:firstLine="540" w:right="281"/>
        <w:jc w:val="center"/>
        <w:rPr>
          <w:rFonts w:ascii="Times New Roman" w:hAnsi="Times New Roman" w:cs="Times New Roman"/>
          <w:b/>
          <w:bCs/>
          <w:sz w:val="26"/>
          <w:szCs w:val="26"/>
        </w:rPr>
      </w:pPr>
      <w:r>
        <w:rPr>
          <w:rFonts w:cs="Times New Roman" w:ascii="Times New Roman" w:hAnsi="Times New Roman"/>
          <w:b/>
          <w:bCs/>
          <w:sz w:val="26"/>
          <w:szCs w:val="26"/>
        </w:rPr>
      </w:r>
    </w:p>
    <w:p>
      <w:pPr>
        <w:pStyle w:val="ConsPlusNormal"/>
        <w:ind w:firstLine="540" w:left="0" w:right="0"/>
        <w:jc w:val="both"/>
        <w:rPr>
          <w:rFonts w:ascii="Times New Roman" w:hAnsi="Times New Roman" w:cs="Times New Roman"/>
          <w:b w:val="false"/>
          <w:bCs w:val="false"/>
          <w:sz w:val="26"/>
          <w:szCs w:val="26"/>
          <w:highlight w:val="none"/>
        </w:rPr>
      </w:pPr>
      <w:r>
        <w:rPr>
          <w:rFonts w:cs="Times New Roman" w:ascii="Times New Roman" w:hAnsi="Times New Roman"/>
          <w:b w:val="false"/>
          <w:bCs w:val="false"/>
          <w:sz w:val="26"/>
          <w:szCs w:val="26"/>
        </w:rPr>
        <w:t xml:space="preserve">За 2025 год в отдел контроля правового управления поступило 439 обращений (на 01.11.2025) на нарушение обязательных требований в сфере благоустройства. Основными нарушениями являются нарушения общих требований к благоустройству территории города: </w:t>
      </w:r>
    </w:p>
    <w:tbl>
      <w:tblPr>
        <w:tblW w:w="14904" w:type="dxa"/>
        <w:jc w:val="left"/>
        <w:tblInd w:w="-441" w:type="dxa"/>
        <w:tblLayout w:type="fixed"/>
        <w:tblCellMar>
          <w:top w:w="102" w:type="dxa"/>
          <w:left w:w="62" w:type="dxa"/>
          <w:bottom w:w="102" w:type="dxa"/>
          <w:right w:w="62" w:type="dxa"/>
        </w:tblCellMar>
        <w:tblLook w:val="04a0" w:noHBand="0" w:noVBand="1" w:firstColumn="1" w:lastRow="0" w:lastColumn="0" w:firstRow="1"/>
      </w:tblPr>
      <w:tblGrid>
        <w:gridCol w:w="579"/>
        <w:gridCol w:w="2775"/>
        <w:gridCol w:w="2271"/>
        <w:gridCol w:w="5946"/>
        <w:gridCol w:w="3333"/>
      </w:tblGrid>
      <w:tr>
        <w:trPr/>
        <w:tc>
          <w:tcPr>
            <w:tcW w:w="1490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firstLine="142" w:left="992" w:right="0"/>
              <w:jc w:val="center"/>
              <w:rPr>
                <w:sz w:val="18"/>
                <w:szCs w:val="18"/>
              </w:rPr>
            </w:pPr>
            <w:r>
              <w:rPr>
                <w:rFonts w:eastAsia="Times New Roman" w:cs="Times New Roman"/>
                <w:sz w:val="18"/>
                <w:szCs w:val="18"/>
                <w:lang w:eastAsia="ru-RU"/>
              </w:rPr>
              <w:t>Краткое описание содержания обязательных требований</w:t>
            </w:r>
          </w:p>
        </w:tc>
      </w:tr>
      <w:tr>
        <w:trPr/>
        <w:tc>
          <w:tcPr>
            <w:tcW w:w="5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sz w:val="18"/>
                <w:szCs w:val="18"/>
              </w:rPr>
            </w:pPr>
            <w:r>
              <w:rPr>
                <w:rFonts w:eastAsia="Times New Roman" w:cs="Times New Roman"/>
                <w:sz w:val="18"/>
                <w:szCs w:val="18"/>
                <w:lang w:eastAsia="ru-RU"/>
              </w:rPr>
              <w:t xml:space="preserve">№ </w:t>
            </w:r>
            <w:r>
              <w:rPr>
                <w:rFonts w:eastAsia="Times New Roman" w:cs="Times New Roman"/>
                <w:sz w:val="18"/>
                <w:szCs w:val="18"/>
                <w:lang w:eastAsia="ru-RU"/>
              </w:rPr>
              <w:t>п/п</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hanging="0" w:left="0" w:right="0"/>
              <w:jc w:val="center"/>
              <w:rPr>
                <w:sz w:val="18"/>
                <w:szCs w:val="18"/>
              </w:rPr>
            </w:pPr>
            <w:r>
              <w:rPr>
                <w:rFonts w:eastAsia="Times New Roman" w:cs="Times New Roman"/>
                <w:sz w:val="18"/>
                <w:szCs w:val="18"/>
                <w:lang w:eastAsia="ru-RU"/>
              </w:rPr>
              <w:t>Наименование (вид) охраняемых законом ценностей</w:t>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center"/>
              <w:rPr>
                <w:sz w:val="18"/>
                <w:szCs w:val="18"/>
              </w:rPr>
            </w:pPr>
            <w:r>
              <w:rPr>
                <w:rFonts w:eastAsia="Times New Roman" w:cs="Times New Roman"/>
                <w:sz w:val="18"/>
                <w:szCs w:val="18"/>
                <w:lang w:eastAsia="ru-RU"/>
              </w:rPr>
              <w:t>НПА и их структурные части</w:t>
            </w:r>
          </w:p>
        </w:tc>
        <w:tc>
          <w:tcPr>
            <w:tcW w:w="59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center"/>
              <w:rPr>
                <w:sz w:val="18"/>
                <w:szCs w:val="18"/>
              </w:rPr>
            </w:pPr>
            <w:r>
              <w:rPr>
                <w:rFonts w:eastAsia="Times New Roman" w:cs="Times New Roman"/>
                <w:sz w:val="18"/>
                <w:szCs w:val="18"/>
                <w:lang w:eastAsia="ru-RU"/>
              </w:rPr>
              <w:t xml:space="preserve">Конкретные риски ОЗЦ, на устранение либо снижение которых направлен НПА </w:t>
            </w:r>
          </w:p>
        </w:tc>
        <w:tc>
          <w:tcPr>
            <w:tcW w:w="33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center"/>
              <w:rPr>
                <w:sz w:val="18"/>
                <w:szCs w:val="18"/>
              </w:rPr>
            </w:pPr>
            <w:r>
              <w:rPr>
                <w:rFonts w:eastAsia="Times New Roman" w:cs="Times New Roman"/>
                <w:sz w:val="18"/>
                <w:szCs w:val="18"/>
                <w:lang w:eastAsia="ru-RU"/>
              </w:rPr>
              <w:t>Основные причины проблемы (источники риска)</w:t>
            </w:r>
          </w:p>
        </w:tc>
      </w:tr>
      <w:tr>
        <w:trPr/>
        <w:tc>
          <w:tcPr>
            <w:tcW w:w="5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center"/>
              <w:rPr>
                <w:sz w:val="18"/>
                <w:szCs w:val="18"/>
              </w:rPr>
            </w:pPr>
            <w:r>
              <w:rPr>
                <w:rFonts w:eastAsia="Times New Roman" w:cs="Times New Roman"/>
                <w:sz w:val="18"/>
                <w:szCs w:val="18"/>
                <w:lang w:eastAsia="ru-RU"/>
              </w:rPr>
              <w:t>1</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center"/>
              <w:rPr>
                <w:sz w:val="18"/>
                <w:szCs w:val="18"/>
              </w:rPr>
            </w:pPr>
            <w:r>
              <w:rPr>
                <w:rFonts w:eastAsia="Times New Roman" w:cs="Times New Roman"/>
                <w:sz w:val="18"/>
                <w:szCs w:val="18"/>
                <w:lang w:eastAsia="ru-RU"/>
              </w:rPr>
              <w:t>2</w:t>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center"/>
              <w:rPr>
                <w:sz w:val="18"/>
                <w:szCs w:val="18"/>
              </w:rPr>
            </w:pPr>
            <w:r>
              <w:rPr>
                <w:rFonts w:eastAsia="Times New Roman" w:cs="Times New Roman"/>
                <w:sz w:val="18"/>
                <w:szCs w:val="18"/>
                <w:lang w:eastAsia="ru-RU"/>
              </w:rPr>
              <w:t>3</w:t>
            </w:r>
          </w:p>
        </w:tc>
        <w:tc>
          <w:tcPr>
            <w:tcW w:w="594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center"/>
              <w:rPr>
                <w:sz w:val="18"/>
                <w:szCs w:val="18"/>
              </w:rPr>
            </w:pPr>
            <w:r>
              <w:rPr>
                <w:rFonts w:eastAsia="Times New Roman" w:cs="Times New Roman"/>
                <w:sz w:val="18"/>
                <w:szCs w:val="18"/>
                <w:lang w:eastAsia="ru-RU"/>
              </w:rPr>
              <w:t>4</w:t>
            </w:r>
          </w:p>
        </w:tc>
        <w:tc>
          <w:tcPr>
            <w:tcW w:w="33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center"/>
              <w:rPr>
                <w:sz w:val="18"/>
                <w:szCs w:val="18"/>
              </w:rPr>
            </w:pPr>
            <w:r>
              <w:rPr>
                <w:rFonts w:eastAsia="Times New Roman" w:cs="Times New Roman"/>
                <w:sz w:val="18"/>
                <w:szCs w:val="18"/>
                <w:lang w:eastAsia="ru-RU"/>
              </w:rPr>
              <w:t>5</w:t>
            </w:r>
          </w:p>
        </w:tc>
      </w:tr>
      <w:tr>
        <w:trPr/>
        <w:tc>
          <w:tcPr>
            <w:tcW w:w="5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center"/>
              <w:rPr>
                <w:sz w:val="18"/>
                <w:szCs w:val="18"/>
              </w:rPr>
            </w:pPr>
            <w:r>
              <w:rPr>
                <w:rFonts w:eastAsia="Times New Roman" w:cs="Times New Roman"/>
                <w:sz w:val="18"/>
                <w:szCs w:val="18"/>
                <w:lang w:eastAsia="ru-RU"/>
              </w:rPr>
              <w:t>1</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Требования к содержанию и благоустройству территории городского округа</w:t>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Глава III</w:t>
            </w:r>
          </w:p>
          <w:p>
            <w:pPr>
              <w:pStyle w:val="Normal"/>
              <w:widowControl w:val="false"/>
              <w:spacing w:lineRule="auto" w:line="240" w:before="0" w:after="0"/>
              <w:ind w:right="0"/>
              <w:jc w:val="both"/>
              <w:rPr>
                <w:sz w:val="18"/>
                <w:szCs w:val="18"/>
              </w:rPr>
            </w:pPr>
            <w:r>
              <w:rPr>
                <w:rFonts w:eastAsia="Times New Roman" w:cs="Times New Roman"/>
                <w:sz w:val="18"/>
                <w:szCs w:val="18"/>
                <w:lang w:eastAsia="ru-RU"/>
              </w:rPr>
              <w:t>Правил благоустройства</w:t>
            </w:r>
          </w:p>
        </w:tc>
        <w:tc>
          <w:tcPr>
            <w:tcW w:w="59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left="0" w:right="0"/>
              <w:jc w:val="both"/>
              <w:rPr>
                <w:sz w:val="18"/>
                <w:szCs w:val="18"/>
              </w:rPr>
            </w:pPr>
            <w:r>
              <w:rPr>
                <w:rFonts w:eastAsia="Times New Roman" w:cs="Times New Roman"/>
                <w:sz w:val="18"/>
                <w:szCs w:val="18"/>
              </w:rPr>
              <w:t>Отсутствие у контролируемого лица разрешений о согласовании изменений фасадов, ограждающих конструкций, входных групп, навесных металлических конструкций, оконных проемов на зданиях (сооружениях), многоквартирных домах;</w:t>
            </w:r>
          </w:p>
        </w:tc>
        <w:tc>
          <w:tcPr>
            <w:tcW w:w="33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Несоблюдение общих требований к благоустройству территории города</w:t>
            </w:r>
          </w:p>
        </w:tc>
      </w:tr>
      <w:tr>
        <w:trPr/>
        <w:tc>
          <w:tcPr>
            <w:tcW w:w="5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center"/>
              <w:rPr>
                <w:sz w:val="18"/>
                <w:szCs w:val="18"/>
              </w:rPr>
            </w:pPr>
            <w:r>
              <w:rPr>
                <w:rFonts w:eastAsia="Times New Roman" w:cs="Times New Roman"/>
                <w:sz w:val="18"/>
                <w:szCs w:val="18"/>
                <w:lang w:eastAsia="ru-RU"/>
              </w:rPr>
              <w:t>2</w:t>
            </w:r>
          </w:p>
        </w:tc>
        <w:tc>
          <w:tcPr>
            <w:tcW w:w="2775" w:type="dxa"/>
            <w:tcBorders>
              <w:top w:val="single" w:sz="4" w:space="0" w:color="000000"/>
              <w:left w:val="single" w:sz="4" w:space="0" w:color="000000"/>
              <w:bottom w:val="single" w:sz="4" w:space="0" w:color="000000"/>
              <w:right w:val="single" w:sz="4" w:space="0" w:color="000000"/>
            </w:tcBorders>
          </w:tcPr>
          <w:p>
            <w:pPr>
              <w:pStyle w:val="Normal"/>
              <w:spacing w:before="0" w:after="0"/>
              <w:ind w:right="0"/>
              <w:jc w:val="both"/>
              <w:rPr>
                <w:sz w:val="18"/>
                <w:szCs w:val="18"/>
              </w:rPr>
            </w:pPr>
            <w:r>
              <w:rPr>
                <w:rFonts w:eastAsia="Times New Roman" w:cs="Times New Roman"/>
                <w:sz w:val="18"/>
                <w:szCs w:val="18"/>
                <w:lang w:eastAsia="ru-RU"/>
              </w:rPr>
              <w:t>Требования к содержанию и внешнему виду зданий, сооружений  объектов благоустройства</w:t>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Глава V</w:t>
            </w:r>
          </w:p>
          <w:p>
            <w:pPr>
              <w:pStyle w:val="Normal"/>
              <w:widowControl w:val="false"/>
              <w:spacing w:lineRule="auto" w:line="240" w:before="0" w:after="0"/>
              <w:ind w:right="0"/>
              <w:jc w:val="both"/>
              <w:rPr>
                <w:sz w:val="18"/>
                <w:szCs w:val="18"/>
              </w:rPr>
            </w:pPr>
            <w:r>
              <w:rPr>
                <w:rFonts w:eastAsia="Times New Roman" w:cs="Times New Roman"/>
                <w:sz w:val="18"/>
                <w:szCs w:val="18"/>
                <w:lang w:eastAsia="ru-RU"/>
              </w:rPr>
              <w:t>Правил благоустройства</w:t>
            </w:r>
          </w:p>
          <w:p>
            <w:pPr>
              <w:pStyle w:val="Normal"/>
              <w:widowControl w:val="false"/>
              <w:spacing w:lineRule="auto" w:line="240" w:before="0" w:after="0"/>
              <w:ind w:right="0"/>
              <w:jc w:val="both"/>
              <w:rPr>
                <w:rFonts w:ascii="Times New Roman" w:hAnsi="Times New Roman" w:eastAsia="Times New Roman" w:cs="Times New Roman"/>
                <w:sz w:val="18"/>
                <w:szCs w:val="18"/>
                <w:lang w:eastAsia="ru-RU"/>
              </w:rPr>
            </w:pPr>
            <w:r>
              <w:rPr>
                <w:rFonts w:eastAsia="Times New Roman" w:cs="Times New Roman"/>
                <w:sz w:val="18"/>
                <w:szCs w:val="18"/>
                <w:lang w:eastAsia="ru-RU"/>
              </w:rPr>
            </w:r>
          </w:p>
        </w:tc>
        <w:tc>
          <w:tcPr>
            <w:tcW w:w="5946" w:type="dxa"/>
            <w:tcBorders>
              <w:top w:val="single" w:sz="4" w:space="0" w:color="000000"/>
              <w:left w:val="single" w:sz="4" w:space="0" w:color="000000"/>
              <w:bottom w:val="single" w:sz="4" w:space="0" w:color="000000"/>
              <w:right w:val="single" w:sz="4" w:space="0" w:color="000000"/>
            </w:tcBorders>
          </w:tcPr>
          <w:p>
            <w:pPr>
              <w:pStyle w:val="Normal"/>
              <w:spacing w:before="0" w:after="0"/>
              <w:ind w:right="0"/>
              <w:jc w:val="both"/>
              <w:rPr>
                <w:sz w:val="18"/>
                <w:szCs w:val="18"/>
              </w:rPr>
            </w:pPr>
            <w:r>
              <w:rPr>
                <w:rFonts w:eastAsia="Times New Roman" w:cs="Times New Roman"/>
                <w:sz w:val="18"/>
                <w:szCs w:val="18"/>
              </w:rPr>
              <w:t>Отсутствие у контролируемого лица разрешений о согласовании размещения, вывесок, баннеров, объявлений, указателей;</w:t>
            </w:r>
          </w:p>
        </w:tc>
        <w:tc>
          <w:tcPr>
            <w:tcW w:w="33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Несоблюдение требований к содержанию и внешнему виду зданий, сооружений  объектов благоустройства</w:t>
            </w:r>
          </w:p>
        </w:tc>
      </w:tr>
      <w:tr>
        <w:trPr/>
        <w:tc>
          <w:tcPr>
            <w:tcW w:w="579" w:type="dxa"/>
            <w:tcBorders>
              <w:top w:val="single" w:sz="4" w:space="0" w:color="000000"/>
              <w:left w:val="single" w:sz="4" w:space="0" w:color="000000"/>
              <w:bottom w:val="single" w:sz="4" w:space="0" w:color="000000"/>
              <w:right w:val="single" w:sz="4" w:space="0" w:color="000000"/>
            </w:tcBorders>
          </w:tcPr>
          <w:p>
            <w:pPr>
              <w:pStyle w:val="Normal"/>
              <w:spacing w:before="0" w:after="0"/>
              <w:ind w:right="0"/>
              <w:jc w:val="center"/>
              <w:rPr>
                <w:sz w:val="18"/>
                <w:szCs w:val="18"/>
              </w:rPr>
            </w:pPr>
            <w:r>
              <w:rPr>
                <w:sz w:val="18"/>
                <w:szCs w:val="18"/>
              </w:rPr>
              <w:t>3</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Требования к содержанию и благоустройству территории городского округа</w:t>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Глава III</w:t>
            </w:r>
          </w:p>
          <w:p>
            <w:pPr>
              <w:pStyle w:val="Normal"/>
              <w:widowControl w:val="false"/>
              <w:spacing w:lineRule="auto" w:line="240" w:before="0" w:after="0"/>
              <w:ind w:right="0"/>
              <w:jc w:val="both"/>
              <w:rPr>
                <w:sz w:val="18"/>
                <w:szCs w:val="18"/>
              </w:rPr>
            </w:pPr>
            <w:r>
              <w:rPr>
                <w:rFonts w:eastAsia="Times New Roman" w:cs="Times New Roman"/>
                <w:sz w:val="18"/>
                <w:szCs w:val="18"/>
                <w:lang w:eastAsia="ru-RU"/>
              </w:rPr>
              <w:t>Правил благоустройства</w:t>
            </w:r>
          </w:p>
        </w:tc>
        <w:tc>
          <w:tcPr>
            <w:tcW w:w="594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hanging="0" w:left="0" w:right="0"/>
              <w:jc w:val="both"/>
              <w:rPr>
                <w:sz w:val="18"/>
                <w:szCs w:val="18"/>
              </w:rPr>
            </w:pPr>
            <w:r>
              <w:rPr>
                <w:rFonts w:eastAsia="Times New Roman" w:cs="Times New Roman"/>
                <w:sz w:val="18"/>
                <w:szCs w:val="18"/>
              </w:rPr>
              <w:t>Отсутствие у контролируемого лица разрешения на торговлю, в том числе развозную, а также оказание бытовых услуг и услуг общественного питания на территории городского округа;</w:t>
            </w:r>
          </w:p>
        </w:tc>
        <w:tc>
          <w:tcPr>
            <w:tcW w:w="33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Несоблюдение общих требований к благоустройству территории города</w:t>
            </w:r>
          </w:p>
          <w:p>
            <w:pPr>
              <w:pStyle w:val="Normal"/>
              <w:spacing w:before="0" w:after="0"/>
              <w:ind w:right="0"/>
              <w:jc w:val="both"/>
              <w:rPr>
                <w:sz w:val="18"/>
                <w:szCs w:val="18"/>
              </w:rPr>
            </w:pPr>
            <w:r>
              <w:rPr>
                <w:sz w:val="18"/>
                <w:szCs w:val="18"/>
              </w:rPr>
            </w:r>
          </w:p>
        </w:tc>
      </w:tr>
      <w:tr>
        <w:trPr/>
        <w:tc>
          <w:tcPr>
            <w:tcW w:w="579" w:type="dxa"/>
            <w:tcBorders>
              <w:top w:val="single" w:sz="4" w:space="0" w:color="000000"/>
              <w:left w:val="single" w:sz="4" w:space="0" w:color="000000"/>
              <w:bottom w:val="single" w:sz="4" w:space="0" w:color="000000"/>
              <w:right w:val="single" w:sz="4" w:space="0" w:color="000000"/>
            </w:tcBorders>
          </w:tcPr>
          <w:p>
            <w:pPr>
              <w:pStyle w:val="Normal"/>
              <w:spacing w:before="0" w:after="0"/>
              <w:ind w:right="0"/>
              <w:jc w:val="center"/>
              <w:rPr>
                <w:sz w:val="18"/>
                <w:szCs w:val="18"/>
              </w:rPr>
            </w:pPr>
            <w:r>
              <w:rPr>
                <w:sz w:val="18"/>
                <w:szCs w:val="18"/>
              </w:rPr>
              <w:t>4</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Требования к содержанию и благоустройству территории городского округа</w:t>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Глава III</w:t>
            </w:r>
          </w:p>
          <w:p>
            <w:pPr>
              <w:pStyle w:val="Normal"/>
              <w:widowControl w:val="false"/>
              <w:spacing w:lineRule="auto" w:line="240" w:before="0" w:after="0"/>
              <w:ind w:right="0"/>
              <w:jc w:val="both"/>
              <w:rPr>
                <w:sz w:val="18"/>
                <w:szCs w:val="18"/>
              </w:rPr>
            </w:pPr>
            <w:r>
              <w:rPr>
                <w:rFonts w:eastAsia="Times New Roman" w:cs="Times New Roman"/>
                <w:sz w:val="18"/>
                <w:szCs w:val="18"/>
                <w:lang w:eastAsia="ru-RU"/>
              </w:rPr>
              <w:t>Правил благоустройства</w:t>
            </w:r>
          </w:p>
        </w:tc>
        <w:tc>
          <w:tcPr>
            <w:tcW w:w="5946" w:type="dxa"/>
            <w:tcBorders>
              <w:top w:val="single" w:sz="4" w:space="0" w:color="000000"/>
              <w:left w:val="single" w:sz="4" w:space="0" w:color="000000"/>
              <w:bottom w:val="single" w:sz="4" w:space="0" w:color="000000"/>
              <w:right w:val="single" w:sz="4" w:space="0" w:color="000000"/>
            </w:tcBorders>
          </w:tcPr>
          <w:p>
            <w:pPr>
              <w:pStyle w:val="Normal"/>
              <w:spacing w:before="0" w:after="0"/>
              <w:ind w:right="0"/>
              <w:jc w:val="both"/>
              <w:rPr>
                <w:sz w:val="18"/>
                <w:szCs w:val="18"/>
              </w:rPr>
            </w:pPr>
            <w:r>
              <w:rPr>
                <w:rFonts w:eastAsia="Times New Roman" w:cs="Times New Roman"/>
                <w:sz w:val="18"/>
                <w:szCs w:val="18"/>
              </w:rPr>
              <w:t>Отсутствие у контролируемого лица разрешений на использование территории, оформленных сервитутов;</w:t>
            </w:r>
          </w:p>
        </w:tc>
        <w:tc>
          <w:tcPr>
            <w:tcW w:w="33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Несоблюдение общих требований к благоустройству территории города</w:t>
            </w:r>
          </w:p>
        </w:tc>
      </w:tr>
      <w:tr>
        <w:trPr/>
        <w:tc>
          <w:tcPr>
            <w:tcW w:w="579" w:type="dxa"/>
            <w:tcBorders>
              <w:top w:val="single" w:sz="4" w:space="0" w:color="000000"/>
              <w:left w:val="single" w:sz="4" w:space="0" w:color="000000"/>
              <w:bottom w:val="single" w:sz="4" w:space="0" w:color="000000"/>
              <w:right w:val="single" w:sz="4" w:space="0" w:color="000000"/>
            </w:tcBorders>
          </w:tcPr>
          <w:p>
            <w:pPr>
              <w:pStyle w:val="Normal"/>
              <w:spacing w:before="0" w:after="0"/>
              <w:ind w:right="0"/>
              <w:jc w:val="center"/>
              <w:rPr>
                <w:sz w:val="18"/>
                <w:szCs w:val="18"/>
              </w:rPr>
            </w:pPr>
            <w:r>
              <w:rPr>
                <w:sz w:val="18"/>
                <w:szCs w:val="18"/>
              </w:rPr>
              <w:t>5</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Требования к содержанию и благоустройству территории городского округа</w:t>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Глава III</w:t>
            </w:r>
          </w:p>
          <w:p>
            <w:pPr>
              <w:pStyle w:val="Normal"/>
              <w:widowControl w:val="false"/>
              <w:spacing w:lineRule="auto" w:line="240" w:before="0" w:after="0"/>
              <w:ind w:right="0"/>
              <w:jc w:val="both"/>
              <w:rPr>
                <w:sz w:val="18"/>
                <w:szCs w:val="18"/>
              </w:rPr>
            </w:pPr>
            <w:r>
              <w:rPr>
                <w:rFonts w:eastAsia="Times New Roman" w:cs="Times New Roman"/>
                <w:sz w:val="18"/>
                <w:szCs w:val="18"/>
                <w:lang w:eastAsia="ru-RU"/>
              </w:rPr>
              <w:t>Правил благоустройства</w:t>
            </w:r>
          </w:p>
        </w:tc>
        <w:tc>
          <w:tcPr>
            <w:tcW w:w="594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hanging="0" w:left="0" w:right="0"/>
              <w:jc w:val="both"/>
              <w:rPr>
                <w:sz w:val="18"/>
                <w:szCs w:val="18"/>
              </w:rPr>
            </w:pPr>
            <w:r>
              <w:rPr>
                <w:rFonts w:eastAsia="Times New Roman" w:cs="Times New Roman"/>
                <w:sz w:val="18"/>
                <w:szCs w:val="18"/>
              </w:rPr>
              <w:t>Отсутствие у контролируемого лица разрешений на складирование на срок более 15 дней на землях общего пользования строительных материалов и пр.</w:t>
            </w:r>
          </w:p>
        </w:tc>
        <w:tc>
          <w:tcPr>
            <w:tcW w:w="33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Несоблюдение общих требований к благоустройству территории города</w:t>
            </w:r>
          </w:p>
          <w:p>
            <w:pPr>
              <w:pStyle w:val="Normal"/>
              <w:spacing w:before="0" w:after="0"/>
              <w:ind w:right="0"/>
              <w:jc w:val="both"/>
              <w:rPr>
                <w:sz w:val="18"/>
                <w:szCs w:val="18"/>
              </w:rPr>
            </w:pPr>
            <w:r>
              <w:rPr>
                <w:sz w:val="18"/>
                <w:szCs w:val="18"/>
              </w:rPr>
            </w:r>
          </w:p>
        </w:tc>
      </w:tr>
      <w:tr>
        <w:trPr/>
        <w:tc>
          <w:tcPr>
            <w:tcW w:w="579" w:type="dxa"/>
            <w:tcBorders>
              <w:top w:val="single" w:sz="4" w:space="0" w:color="000000"/>
              <w:left w:val="single" w:sz="4" w:space="0" w:color="000000"/>
              <w:bottom w:val="single" w:sz="4" w:space="0" w:color="000000"/>
              <w:right w:val="single" w:sz="4" w:space="0" w:color="000000"/>
            </w:tcBorders>
          </w:tcPr>
          <w:p>
            <w:pPr>
              <w:pStyle w:val="Normal"/>
              <w:spacing w:before="0" w:after="0"/>
              <w:ind w:right="0"/>
              <w:jc w:val="center"/>
              <w:rPr>
                <w:sz w:val="18"/>
                <w:szCs w:val="18"/>
              </w:rPr>
            </w:pPr>
            <w:r>
              <w:rPr>
                <w:sz w:val="18"/>
                <w:szCs w:val="18"/>
              </w:rPr>
              <w:t>6</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Требования к организации содержания и благоустройства территории городского округа, видам работ по благоустройству</w:t>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Глава IV</w:t>
            </w:r>
          </w:p>
          <w:p>
            <w:pPr>
              <w:pStyle w:val="Normal"/>
              <w:widowControl w:val="false"/>
              <w:spacing w:lineRule="auto" w:line="240" w:before="0" w:after="0"/>
              <w:ind w:right="0"/>
              <w:jc w:val="both"/>
              <w:rPr>
                <w:sz w:val="18"/>
                <w:szCs w:val="18"/>
              </w:rPr>
            </w:pPr>
            <w:r>
              <w:rPr>
                <w:rFonts w:eastAsia="Times New Roman" w:cs="Times New Roman"/>
                <w:sz w:val="18"/>
                <w:szCs w:val="18"/>
                <w:lang w:eastAsia="ru-RU"/>
              </w:rPr>
              <w:t>Правил благоустройства</w:t>
            </w:r>
          </w:p>
          <w:p>
            <w:pPr>
              <w:pStyle w:val="Normal"/>
              <w:widowControl w:val="false"/>
              <w:spacing w:lineRule="auto" w:line="240" w:before="0" w:after="0"/>
              <w:ind w:right="0"/>
              <w:jc w:val="both"/>
              <w:rPr>
                <w:rFonts w:ascii="Times New Roman" w:hAnsi="Times New Roman" w:eastAsia="Times New Roman" w:cs="Times New Roman"/>
                <w:sz w:val="18"/>
                <w:szCs w:val="18"/>
                <w:lang w:eastAsia="ru-RU"/>
              </w:rPr>
            </w:pPr>
            <w:r>
              <w:rPr>
                <w:rFonts w:eastAsia="Times New Roman" w:cs="Times New Roman"/>
                <w:sz w:val="18"/>
                <w:szCs w:val="18"/>
                <w:lang w:eastAsia="ru-RU"/>
              </w:rPr>
            </w:r>
          </w:p>
          <w:p>
            <w:pPr>
              <w:pStyle w:val="Normal"/>
              <w:spacing w:before="0" w:after="0"/>
              <w:ind w:right="0"/>
              <w:jc w:val="both"/>
              <w:rPr>
                <w:sz w:val="18"/>
                <w:szCs w:val="18"/>
              </w:rPr>
            </w:pPr>
            <w:r>
              <w:rPr>
                <w:sz w:val="18"/>
                <w:szCs w:val="18"/>
              </w:rPr>
            </w:r>
          </w:p>
        </w:tc>
        <w:tc>
          <w:tcPr>
            <w:tcW w:w="594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hanging="0" w:left="0" w:right="0"/>
              <w:jc w:val="both"/>
              <w:rPr>
                <w:sz w:val="18"/>
                <w:szCs w:val="18"/>
              </w:rPr>
            </w:pPr>
            <w:r>
              <w:rPr>
                <w:rFonts w:eastAsia="Times New Roman" w:cs="Times New Roman"/>
                <w:sz w:val="18"/>
                <w:szCs w:val="18"/>
              </w:rPr>
              <w:t>Фиксация посредством выявления в ходе контрольных (надзорных) мероприятий без взаимодействия два и более раз за 30 календарных дней несоответствия данных об исполнении работ по обеспечению пожарной безопасности, санитарных норм на землях общего пользования, находящихся с муниципальной собственности.</w:t>
            </w:r>
          </w:p>
        </w:tc>
        <w:tc>
          <w:tcPr>
            <w:tcW w:w="333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sz w:val="18"/>
                <w:szCs w:val="18"/>
              </w:rPr>
              <w:t xml:space="preserve">Несоблюдение общих требований </w:t>
            </w:r>
            <w:r>
              <w:rPr>
                <w:rFonts w:eastAsia="Times New Roman" w:cs="Times New Roman"/>
                <w:sz w:val="18"/>
                <w:szCs w:val="18"/>
                <w:lang w:eastAsia="ru-RU"/>
              </w:rPr>
              <w:t>к организации содержания и благоустройства территории городского округа, видам работ по благоустройству</w:t>
            </w:r>
          </w:p>
          <w:p>
            <w:pPr>
              <w:pStyle w:val="Normal"/>
              <w:spacing w:before="0" w:after="0"/>
              <w:ind w:right="0"/>
              <w:jc w:val="both"/>
              <w:rPr>
                <w:sz w:val="18"/>
                <w:szCs w:val="18"/>
              </w:rPr>
            </w:pPr>
            <w:r>
              <w:rPr>
                <w:sz w:val="18"/>
                <w:szCs w:val="18"/>
              </w:rPr>
            </w:r>
          </w:p>
        </w:tc>
      </w:tr>
      <w:tr>
        <w:trPr/>
        <w:tc>
          <w:tcPr>
            <w:tcW w:w="579" w:type="dxa"/>
            <w:tcBorders>
              <w:top w:val="single" w:sz="4" w:space="0" w:color="000000"/>
              <w:left w:val="single" w:sz="4" w:space="0" w:color="000000"/>
              <w:bottom w:val="single" w:sz="4" w:space="0" w:color="000000"/>
              <w:right w:val="single" w:sz="4" w:space="0" w:color="000000"/>
            </w:tcBorders>
          </w:tcPr>
          <w:p>
            <w:pPr>
              <w:pStyle w:val="Normal"/>
              <w:spacing w:before="0" w:after="0"/>
              <w:ind w:right="0"/>
              <w:jc w:val="center"/>
              <w:rPr>
                <w:sz w:val="18"/>
                <w:szCs w:val="18"/>
              </w:rPr>
            </w:pPr>
            <w:r>
              <w:rPr>
                <w:sz w:val="18"/>
                <w:szCs w:val="18"/>
              </w:rPr>
              <w:t>7</w:t>
            </w:r>
          </w:p>
        </w:tc>
        <w:tc>
          <w:tcPr>
            <w:tcW w:w="2775" w:type="dxa"/>
            <w:tcBorders>
              <w:top w:val="single" w:sz="4" w:space="0" w:color="000000"/>
              <w:left w:val="single" w:sz="4" w:space="0" w:color="000000"/>
              <w:bottom w:val="single" w:sz="4" w:space="0" w:color="000000"/>
              <w:right w:val="single" w:sz="4" w:space="0" w:color="000000"/>
            </w:tcBorders>
          </w:tcPr>
          <w:p>
            <w:pPr>
              <w:pStyle w:val="Normal"/>
              <w:spacing w:before="0" w:after="0"/>
              <w:ind w:right="0"/>
              <w:jc w:val="both"/>
              <w:rPr>
                <w:sz w:val="18"/>
                <w:szCs w:val="18"/>
              </w:rPr>
            </w:pPr>
            <w:r>
              <w:rPr>
                <w:sz w:val="18"/>
                <w:szCs w:val="18"/>
              </w:rPr>
              <w:t>Требования к организации производства земляных работ и работ, влекущих нарушение благоустройства и (или) природного ландшафта</w:t>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Глава IIV</w:t>
            </w:r>
          </w:p>
          <w:p>
            <w:pPr>
              <w:pStyle w:val="Normal"/>
              <w:widowControl w:val="false"/>
              <w:spacing w:lineRule="auto" w:line="240" w:before="0" w:after="0"/>
              <w:ind w:right="0"/>
              <w:jc w:val="both"/>
              <w:rPr>
                <w:sz w:val="18"/>
                <w:szCs w:val="18"/>
              </w:rPr>
            </w:pPr>
            <w:r>
              <w:rPr>
                <w:rFonts w:eastAsia="Times New Roman" w:cs="Times New Roman"/>
                <w:sz w:val="18"/>
                <w:szCs w:val="18"/>
                <w:lang w:eastAsia="ru-RU"/>
              </w:rPr>
              <w:t>Правил благоустройства</w:t>
            </w:r>
          </w:p>
          <w:p>
            <w:pPr>
              <w:pStyle w:val="Normal"/>
              <w:widowControl w:val="false"/>
              <w:spacing w:lineRule="auto" w:line="240" w:before="0" w:after="0"/>
              <w:ind w:right="0"/>
              <w:jc w:val="both"/>
              <w:rPr>
                <w:rFonts w:ascii="Times New Roman" w:hAnsi="Times New Roman" w:eastAsia="Times New Roman" w:cs="Times New Roman"/>
                <w:sz w:val="18"/>
                <w:szCs w:val="18"/>
                <w:lang w:eastAsia="ru-RU"/>
              </w:rPr>
            </w:pPr>
            <w:r>
              <w:rPr>
                <w:rFonts w:eastAsia="Times New Roman" w:cs="Times New Roman"/>
                <w:sz w:val="18"/>
                <w:szCs w:val="18"/>
                <w:lang w:eastAsia="ru-RU"/>
              </w:rPr>
            </w:r>
          </w:p>
          <w:p>
            <w:pPr>
              <w:pStyle w:val="Normal"/>
              <w:spacing w:before="0" w:after="0"/>
              <w:ind w:right="0"/>
              <w:jc w:val="both"/>
              <w:rPr>
                <w:sz w:val="18"/>
                <w:szCs w:val="18"/>
              </w:rPr>
            </w:pPr>
            <w:r>
              <w:rPr>
                <w:sz w:val="18"/>
                <w:szCs w:val="18"/>
              </w:rPr>
            </w:r>
          </w:p>
        </w:tc>
        <w:tc>
          <w:tcPr>
            <w:tcW w:w="5946" w:type="dxa"/>
            <w:tcBorders>
              <w:top w:val="single" w:sz="4" w:space="0" w:color="000000"/>
              <w:left w:val="single" w:sz="4" w:space="0" w:color="000000"/>
              <w:bottom w:val="single" w:sz="4" w:space="0" w:color="000000"/>
              <w:right w:val="single" w:sz="4" w:space="0" w:color="000000"/>
            </w:tcBorders>
          </w:tcPr>
          <w:p>
            <w:pPr>
              <w:pStyle w:val="Normal"/>
              <w:spacing w:before="0" w:after="0"/>
              <w:ind w:right="0"/>
              <w:jc w:val="both"/>
              <w:rPr>
                <w:sz w:val="18"/>
                <w:szCs w:val="18"/>
              </w:rPr>
            </w:pPr>
            <w:r>
              <w:rPr>
                <w:rFonts w:eastAsia="Times New Roman" w:cs="Times New Roman"/>
                <w:sz w:val="18"/>
                <w:szCs w:val="18"/>
              </w:rPr>
              <w:t>Фиксация посредством выявления в ходе контрольных (надзорных) мероприятий без взаимодействия два и более раз за 5 рабочих дней наличия строительной техники, приспособлений, инвентаря, а также признаков земляных, строительных работ по истечении 5 дней после окончания срока, установленного в разрешении (ордере) на производство (строительство) земляных работ</w:t>
            </w:r>
          </w:p>
        </w:tc>
        <w:tc>
          <w:tcPr>
            <w:tcW w:w="3333" w:type="dxa"/>
            <w:tcBorders>
              <w:top w:val="single" w:sz="4" w:space="0" w:color="000000"/>
              <w:left w:val="single" w:sz="4" w:space="0" w:color="000000"/>
              <w:bottom w:val="single" w:sz="4" w:space="0" w:color="000000"/>
              <w:right w:val="single" w:sz="4" w:space="0" w:color="000000"/>
            </w:tcBorders>
          </w:tcPr>
          <w:p>
            <w:pPr>
              <w:pStyle w:val="Normal"/>
              <w:spacing w:before="0" w:after="0"/>
              <w:ind w:right="0"/>
              <w:jc w:val="both"/>
              <w:rPr>
                <w:sz w:val="18"/>
                <w:szCs w:val="18"/>
              </w:rPr>
            </w:pPr>
            <w:r>
              <w:rPr>
                <w:sz w:val="18"/>
                <w:szCs w:val="18"/>
              </w:rPr>
              <w:t>Не соблюдение общих требований к организации производства земляных работ и работ, влекущих нарушение благоустройства и (или) природного ландшафта</w:t>
            </w:r>
          </w:p>
          <w:p>
            <w:pPr>
              <w:pStyle w:val="Normal"/>
              <w:spacing w:before="0" w:after="0"/>
              <w:ind w:right="0"/>
              <w:jc w:val="both"/>
              <w:rPr>
                <w:sz w:val="18"/>
                <w:szCs w:val="18"/>
              </w:rPr>
            </w:pPr>
            <w:r>
              <w:rPr>
                <w:sz w:val="18"/>
                <w:szCs w:val="18"/>
              </w:rPr>
            </w:r>
          </w:p>
        </w:tc>
      </w:tr>
      <w:tr>
        <w:trPr/>
        <w:tc>
          <w:tcPr>
            <w:tcW w:w="579" w:type="dxa"/>
            <w:tcBorders>
              <w:top w:val="single" w:sz="4" w:space="0" w:color="000000"/>
              <w:left w:val="single" w:sz="4" w:space="0" w:color="000000"/>
              <w:bottom w:val="single" w:sz="4" w:space="0" w:color="000000"/>
              <w:right w:val="single" w:sz="4" w:space="0" w:color="000000"/>
            </w:tcBorders>
          </w:tcPr>
          <w:p>
            <w:pPr>
              <w:pStyle w:val="Normal"/>
              <w:spacing w:before="0" w:after="0"/>
              <w:ind w:right="0"/>
              <w:jc w:val="center"/>
              <w:rPr>
                <w:sz w:val="18"/>
                <w:szCs w:val="18"/>
              </w:rPr>
            </w:pPr>
            <w:r>
              <w:rPr>
                <w:sz w:val="18"/>
                <w:szCs w:val="18"/>
              </w:rPr>
              <w:t>8</w:t>
            </w:r>
          </w:p>
        </w:tc>
        <w:tc>
          <w:tcPr>
            <w:tcW w:w="2775" w:type="dxa"/>
            <w:tcBorders>
              <w:top w:val="single" w:sz="4" w:space="0" w:color="000000"/>
              <w:left w:val="single" w:sz="4" w:space="0" w:color="000000"/>
              <w:bottom w:val="single" w:sz="4" w:space="0" w:color="000000"/>
              <w:right w:val="single" w:sz="4" w:space="0" w:color="000000"/>
            </w:tcBorders>
          </w:tcPr>
          <w:p>
            <w:pPr>
              <w:pStyle w:val="Normal"/>
              <w:spacing w:before="0" w:after="0"/>
              <w:ind w:right="0"/>
              <w:jc w:val="both"/>
              <w:rPr>
                <w:sz w:val="18"/>
                <w:szCs w:val="18"/>
              </w:rPr>
            </w:pPr>
            <w:r>
              <w:rPr>
                <w:sz w:val="18"/>
                <w:szCs w:val="18"/>
              </w:rPr>
              <w:t>Требования к организации производства земляных работ и работ, влекущих нарушение благоустройства и (или) природного ландшафта</w:t>
            </w:r>
          </w:p>
        </w:tc>
        <w:tc>
          <w:tcPr>
            <w:tcW w:w="22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right="0"/>
              <w:jc w:val="both"/>
              <w:rPr>
                <w:sz w:val="18"/>
                <w:szCs w:val="18"/>
              </w:rPr>
            </w:pPr>
            <w:r>
              <w:rPr>
                <w:rFonts w:eastAsia="Times New Roman" w:cs="Times New Roman"/>
                <w:sz w:val="18"/>
                <w:szCs w:val="18"/>
                <w:lang w:eastAsia="ru-RU"/>
              </w:rPr>
              <w:t>Глава IIV</w:t>
            </w:r>
          </w:p>
          <w:p>
            <w:pPr>
              <w:pStyle w:val="Normal"/>
              <w:widowControl w:val="false"/>
              <w:spacing w:lineRule="auto" w:line="240" w:before="0" w:after="0"/>
              <w:ind w:right="0"/>
              <w:jc w:val="both"/>
              <w:rPr>
                <w:sz w:val="18"/>
                <w:szCs w:val="18"/>
              </w:rPr>
            </w:pPr>
            <w:r>
              <w:rPr>
                <w:rFonts w:eastAsia="Times New Roman" w:cs="Times New Roman"/>
                <w:sz w:val="18"/>
                <w:szCs w:val="18"/>
                <w:lang w:eastAsia="ru-RU"/>
              </w:rPr>
              <w:t>Правил благоустройства</w:t>
            </w:r>
          </w:p>
          <w:p>
            <w:pPr>
              <w:pStyle w:val="Normal"/>
              <w:widowControl w:val="false"/>
              <w:spacing w:lineRule="auto" w:line="240" w:before="0" w:after="0"/>
              <w:ind w:right="0"/>
              <w:jc w:val="both"/>
              <w:rPr>
                <w:rFonts w:ascii="Times New Roman" w:hAnsi="Times New Roman" w:eastAsia="Times New Roman" w:cs="Times New Roman"/>
                <w:sz w:val="18"/>
                <w:szCs w:val="18"/>
                <w:lang w:eastAsia="ru-RU"/>
              </w:rPr>
            </w:pPr>
            <w:r>
              <w:rPr>
                <w:rFonts w:eastAsia="Times New Roman" w:cs="Times New Roman"/>
                <w:sz w:val="18"/>
                <w:szCs w:val="18"/>
                <w:lang w:eastAsia="ru-RU"/>
              </w:rPr>
            </w:r>
          </w:p>
          <w:p>
            <w:pPr>
              <w:pStyle w:val="Normal"/>
              <w:spacing w:before="0" w:after="0"/>
              <w:ind w:right="0"/>
              <w:jc w:val="both"/>
              <w:rPr>
                <w:sz w:val="18"/>
                <w:szCs w:val="18"/>
              </w:rPr>
            </w:pPr>
            <w:r>
              <w:rPr>
                <w:sz w:val="18"/>
                <w:szCs w:val="18"/>
              </w:rPr>
            </w:r>
          </w:p>
        </w:tc>
        <w:tc>
          <w:tcPr>
            <w:tcW w:w="5946" w:type="dxa"/>
            <w:tcBorders>
              <w:top w:val="single" w:sz="4" w:space="0" w:color="000000"/>
              <w:left w:val="single" w:sz="4" w:space="0" w:color="000000"/>
              <w:bottom w:val="single" w:sz="4" w:space="0" w:color="000000"/>
              <w:right w:val="single" w:sz="4" w:space="0" w:color="000000"/>
            </w:tcBorders>
          </w:tcPr>
          <w:p>
            <w:pPr>
              <w:pStyle w:val="Normal"/>
              <w:spacing w:before="0" w:after="0"/>
              <w:ind w:right="0"/>
              <w:jc w:val="both"/>
              <w:rPr>
                <w:sz w:val="18"/>
                <w:szCs w:val="18"/>
              </w:rPr>
            </w:pPr>
            <w:r>
              <w:rPr>
                <w:rFonts w:eastAsia="Times New Roman" w:cs="Times New Roman"/>
                <w:sz w:val="18"/>
                <w:szCs w:val="18"/>
              </w:rPr>
              <w:t>Фиксация посредством выявления в ходе контрольных (надзорных) мероприятий без взаимодействия два и более раз за 5 дней наличия строительной техники, приспособлений, инвентаря, а также признаков земляных, строительных работ, влекущих повреждение или уничтожение зеленых насаждений, нарушении конструкций дорог, тротуаров, других объектов благоустройства, без письменного разрешения (ордера).</w:t>
            </w:r>
          </w:p>
        </w:tc>
        <w:tc>
          <w:tcPr>
            <w:tcW w:w="3333" w:type="dxa"/>
            <w:tcBorders>
              <w:top w:val="single" w:sz="4" w:space="0" w:color="000000"/>
              <w:left w:val="single" w:sz="4" w:space="0" w:color="000000"/>
              <w:bottom w:val="single" w:sz="4" w:space="0" w:color="000000"/>
              <w:right w:val="single" w:sz="4" w:space="0" w:color="000000"/>
            </w:tcBorders>
          </w:tcPr>
          <w:p>
            <w:pPr>
              <w:pStyle w:val="Normal"/>
              <w:spacing w:before="0" w:after="0"/>
              <w:ind w:right="0"/>
              <w:jc w:val="both"/>
              <w:rPr>
                <w:sz w:val="18"/>
                <w:szCs w:val="18"/>
              </w:rPr>
            </w:pPr>
            <w:r>
              <w:rPr>
                <w:sz w:val="18"/>
                <w:szCs w:val="18"/>
              </w:rPr>
              <w:t>Не соблюдение общих требований к организации производства земляных работ и работ, влекущих нарушение благоустройства и (или) природного ландшафта</w:t>
            </w:r>
          </w:p>
          <w:p>
            <w:pPr>
              <w:pStyle w:val="Normal"/>
              <w:spacing w:before="0" w:after="0"/>
              <w:ind w:right="0"/>
              <w:jc w:val="both"/>
              <w:rPr>
                <w:sz w:val="18"/>
                <w:szCs w:val="18"/>
              </w:rPr>
            </w:pPr>
            <w:r>
              <w:rPr>
                <w:sz w:val="18"/>
                <w:szCs w:val="18"/>
              </w:rPr>
            </w:r>
          </w:p>
        </w:tc>
      </w:tr>
    </w:tbl>
    <w:p>
      <w:pPr>
        <w:pStyle w:val="ConsPlusNormal"/>
        <w:ind w:firstLine="540" w:right="281"/>
        <w:jc w:val="both"/>
        <w:rPr>
          <w:rFonts w:ascii="Times New Roman" w:hAnsi="Times New Roman" w:cs="Times New Roman"/>
          <w:b w:val="false"/>
          <w:bCs w:val="false"/>
          <w:sz w:val="26"/>
          <w:szCs w:val="26"/>
          <w:highlight w:val="none"/>
        </w:rPr>
      </w:pPr>
      <w:r>
        <w:rPr>
          <w:rFonts w:cs="Times New Roman" w:ascii="Times New Roman" w:hAnsi="Times New Roman"/>
          <w:b w:val="false"/>
          <w:bCs w:val="false"/>
          <w:sz w:val="26"/>
          <w:szCs w:val="26"/>
        </w:rPr>
      </w:r>
    </w:p>
    <w:p>
      <w:pPr>
        <w:pStyle w:val="ConsPlusNormal"/>
        <w:ind w:firstLine="540" w:right="281"/>
        <w:jc w:val="center"/>
        <w:rPr>
          <w:rFonts w:ascii="Times New Roman" w:hAnsi="Times New Roman" w:cs="Times New Roman"/>
          <w:b/>
          <w:bCs/>
          <w:sz w:val="26"/>
          <w:szCs w:val="26"/>
          <w:highlight w:val="none"/>
        </w:rPr>
      </w:pPr>
      <w:r>
        <w:rPr>
          <w:rFonts w:cs="Times New Roman" w:ascii="Times New Roman" w:hAnsi="Times New Roman"/>
          <w:b/>
          <w:bCs/>
          <w:sz w:val="26"/>
          <w:szCs w:val="26"/>
        </w:rPr>
        <w:t>3.4 Количество и содержание вступивших в законную силу судебных актов по делам об оспаривании Правил благоустройства</w:t>
      </w:r>
      <w:r>
        <w:rPr>
          <w:rFonts w:cs="Times New Roman" w:ascii="Times New Roman" w:hAnsi="Times New Roman"/>
          <w:b w:val="false"/>
          <w:bCs w:val="false"/>
          <w:sz w:val="26"/>
          <w:szCs w:val="26"/>
        </w:rPr>
        <w:t xml:space="preserve"> </w:t>
      </w:r>
    </w:p>
    <w:tbl>
      <w:tblPr>
        <w:tblStyle w:val="937"/>
        <w:tblW w:w="14968" w:type="dxa"/>
        <w:jc w:val="left"/>
        <w:tblInd w:w="-404" w:type="dxa"/>
        <w:tblLayout w:type="fixed"/>
        <w:tblCellMar>
          <w:top w:w="0" w:type="dxa"/>
          <w:left w:w="108" w:type="dxa"/>
          <w:bottom w:w="0" w:type="dxa"/>
          <w:right w:w="108" w:type="dxa"/>
        </w:tblCellMar>
        <w:tblLook w:val="04a0" w:noHBand="0" w:noVBand="1" w:firstColumn="1" w:lastRow="0" w:lastColumn="0" w:firstRow="1"/>
      </w:tblPr>
      <w:tblGrid>
        <w:gridCol w:w="2207"/>
        <w:gridCol w:w="5957"/>
        <w:gridCol w:w="6804"/>
      </w:tblGrid>
      <w:tr>
        <w:trPr/>
        <w:tc>
          <w:tcPr>
            <w:tcW w:w="2207" w:type="dxa"/>
            <w:tcBorders/>
          </w:tcPr>
          <w:p>
            <w:pPr>
              <w:pStyle w:val="ConsPlusNormal"/>
              <w:widowControl w:val="false"/>
              <w:bidi w:val="0"/>
              <w:spacing w:lineRule="auto" w:line="240" w:beforeAutospacing="0" w:before="0" w:afterAutospacing="0" w:after="0"/>
              <w:ind w:hanging="0" w:left="0" w:right="0"/>
              <w:jc w:val="center"/>
              <w:rPr>
                <w:rFonts w:ascii="Calibri" w:hAnsi="Calibri" w:cs="Calibri"/>
                <w:kern w:val="0"/>
                <w:sz w:val="18"/>
                <w:szCs w:val="18"/>
                <w:lang w:val="ru-RU" w:bidi="ar-SA"/>
              </w:rPr>
            </w:pPr>
            <w:r>
              <w:rPr>
                <w:rFonts w:eastAsia="Times New Roman" w:cs="Times New Roman" w:ascii="Times New Roman" w:hAnsi="Times New Roman"/>
                <w:b w:val="false"/>
                <w:bCs w:val="false"/>
                <w:kern w:val="0"/>
                <w:sz w:val="18"/>
                <w:szCs w:val="18"/>
                <w:lang w:val="ru-RU" w:bidi="ar-SA"/>
              </w:rPr>
              <w:t xml:space="preserve">№ </w:t>
            </w:r>
            <w:r>
              <w:rPr>
                <w:rFonts w:eastAsia="Times New Roman" w:cs="Times New Roman" w:ascii="Times New Roman" w:hAnsi="Times New Roman"/>
                <w:b w:val="false"/>
                <w:bCs w:val="false"/>
                <w:kern w:val="0"/>
                <w:sz w:val="18"/>
                <w:szCs w:val="18"/>
                <w:lang w:val="ru-RU" w:bidi="ar-SA"/>
              </w:rPr>
              <w:t xml:space="preserve">дела, дата </w:t>
            </w:r>
            <w:r>
              <w:rPr>
                <w:rFonts w:eastAsia="Times New Roman" w:cs="Times New Roman" w:ascii="Times New Roman" w:hAnsi="Times New Roman"/>
                <w:b w:val="false"/>
                <w:bCs w:val="false"/>
                <w:kern w:val="0"/>
                <w:sz w:val="18"/>
                <w:szCs w:val="18"/>
                <w:lang w:val="ru-RU" w:bidi="ar-SA"/>
              </w:rPr>
              <w:t>решения</w:t>
            </w:r>
          </w:p>
        </w:tc>
        <w:tc>
          <w:tcPr>
            <w:tcW w:w="5957" w:type="dxa"/>
            <w:tcBorders/>
          </w:tcPr>
          <w:p>
            <w:pPr>
              <w:pStyle w:val="ConsPlusNormal"/>
              <w:widowControl w:val="false"/>
              <w:bidi w:val="0"/>
              <w:spacing w:lineRule="auto" w:line="240" w:beforeAutospacing="0" w:before="0" w:afterAutospacing="0" w:after="0"/>
              <w:ind w:hanging="0" w:left="57" w:right="0"/>
              <w:jc w:val="center"/>
              <w:rPr>
                <w:rFonts w:ascii="Calibri" w:hAnsi="Calibri" w:cs="Calibri"/>
                <w:kern w:val="0"/>
                <w:sz w:val="18"/>
                <w:szCs w:val="18"/>
                <w:lang w:val="ru-RU" w:bidi="ar-SA"/>
              </w:rPr>
            </w:pPr>
            <w:r>
              <w:rPr>
                <w:rFonts w:eastAsia="Times New Roman" w:cs="Times New Roman" w:ascii="Times New Roman" w:hAnsi="Times New Roman"/>
                <w:b w:val="false"/>
                <w:bCs w:val="false"/>
                <w:kern w:val="0"/>
                <w:sz w:val="18"/>
                <w:szCs w:val="18"/>
                <w:lang w:val="ru-RU" w:bidi="ar-SA"/>
              </w:rPr>
              <w:t xml:space="preserve">Заявленные требования </w:t>
            </w:r>
          </w:p>
        </w:tc>
        <w:tc>
          <w:tcPr>
            <w:tcW w:w="6804" w:type="dxa"/>
            <w:tcBorders/>
          </w:tcPr>
          <w:p>
            <w:pPr>
              <w:pStyle w:val="ConsPlusNormal"/>
              <w:widowControl w:val="false"/>
              <w:bidi w:val="0"/>
              <w:spacing w:lineRule="auto" w:line="240" w:beforeAutospacing="0" w:before="0" w:afterAutospacing="0" w:after="0"/>
              <w:ind w:hanging="0" w:left="-510" w:right="0"/>
              <w:jc w:val="center"/>
              <w:rPr>
                <w:rFonts w:ascii="Calibri" w:hAnsi="Calibri" w:cs="Calibri"/>
                <w:kern w:val="0"/>
                <w:sz w:val="18"/>
                <w:szCs w:val="18"/>
                <w:lang w:val="ru-RU" w:bidi="ar-SA"/>
              </w:rPr>
            </w:pPr>
            <w:r>
              <w:rPr>
                <w:rFonts w:eastAsia="Times New Roman" w:cs="Times New Roman" w:ascii="Times New Roman" w:hAnsi="Times New Roman"/>
                <w:b w:val="false"/>
                <w:bCs w:val="false"/>
                <w:kern w:val="0"/>
                <w:sz w:val="18"/>
                <w:szCs w:val="18"/>
                <w:lang w:val="ru-RU" w:bidi="ar-SA"/>
              </w:rPr>
              <w:t>решение</w:t>
            </w:r>
          </w:p>
        </w:tc>
      </w:tr>
      <w:tr>
        <w:trPr/>
        <w:tc>
          <w:tcPr>
            <w:tcW w:w="2207" w:type="dxa"/>
            <w:tcBorders/>
          </w:tcPr>
          <w:p>
            <w:pPr>
              <w:pStyle w:val="ConsPlusNormal"/>
              <w:widowControl w:val="false"/>
              <w:bidi w:val="0"/>
              <w:spacing w:lineRule="auto" w:line="240" w:beforeAutospacing="0" w:before="0" w:afterAutospacing="0" w:after="0"/>
              <w:ind w:hanging="0" w:left="0" w:right="0"/>
              <w:jc w:val="both"/>
              <w:rPr>
                <w:rFonts w:ascii="Calibri" w:hAnsi="Calibri" w:cs="Calibri"/>
                <w:kern w:val="0"/>
                <w:sz w:val="18"/>
                <w:szCs w:val="18"/>
                <w:lang w:val="ru-RU" w:bidi="ar-SA"/>
              </w:rPr>
            </w:pPr>
            <w:r>
              <w:rPr>
                <w:rFonts w:eastAsia="Times New Roman" w:cs="Times New Roman" w:ascii="Times New Roman" w:hAnsi="Times New Roman"/>
                <w:b w:val="false"/>
                <w:bCs w:val="false"/>
                <w:kern w:val="0"/>
                <w:sz w:val="18"/>
                <w:szCs w:val="18"/>
                <w:lang w:val="ru-RU" w:bidi="ar-SA"/>
              </w:rPr>
              <w:t xml:space="preserve">№ </w:t>
            </w:r>
            <w:r>
              <w:rPr>
                <w:rFonts w:eastAsia="Times New Roman" w:cs="Times New Roman" w:ascii="Times New Roman" w:hAnsi="Times New Roman"/>
                <w:b w:val="false"/>
                <w:bCs w:val="false"/>
                <w:kern w:val="0"/>
                <w:sz w:val="18"/>
                <w:szCs w:val="18"/>
                <w:lang w:val="ru-RU" w:bidi="ar-SA"/>
              </w:rPr>
              <w:t>3а-15/2021, 09.07.2021</w:t>
            </w:r>
          </w:p>
        </w:tc>
        <w:tc>
          <w:tcPr>
            <w:tcW w:w="5957" w:type="dxa"/>
            <w:tcBorders/>
          </w:tcPr>
          <w:p>
            <w:pPr>
              <w:pStyle w:val="ConsPlusNormal"/>
              <w:widowControl w:val="false"/>
              <w:bidi w:val="0"/>
              <w:spacing w:lineRule="auto" w:line="240" w:beforeAutospacing="0" w:before="0" w:afterAutospacing="0" w:after="0"/>
              <w:ind w:hanging="0" w:left="57" w:right="0"/>
              <w:jc w:val="both"/>
              <w:rPr>
                <w:rFonts w:ascii="Calibri" w:hAnsi="Calibri" w:cs="Calibri"/>
                <w:kern w:val="0"/>
                <w:sz w:val="18"/>
                <w:szCs w:val="18"/>
                <w:lang w:val="ru-RU" w:bidi="ar-SA"/>
              </w:rPr>
            </w:pPr>
            <w:r>
              <w:rPr>
                <w:rFonts w:eastAsia="Times New Roman" w:cs="Times New Roman" w:ascii="Times New Roman" w:hAnsi="Times New Roman"/>
                <w:b w:val="false"/>
                <w:bCs w:val="false"/>
                <w:kern w:val="0"/>
                <w:sz w:val="18"/>
                <w:szCs w:val="18"/>
                <w:lang w:val="ru-RU" w:bidi="ar-SA"/>
              </w:rPr>
              <w:t>ООО «ЖУК» обратилось в суд с административным исковым заявлением о признании незаконным и недействующим с момента принятия решения С</w:t>
            </w:r>
            <w:r>
              <w:rPr>
                <w:rFonts w:eastAsia="Times New Roman" w:cs="Times New Roman" w:ascii="Times New Roman" w:hAnsi="Times New Roman"/>
                <w:b w:val="false"/>
                <w:bCs w:val="false"/>
                <w:kern w:val="0"/>
                <w:sz w:val="18"/>
                <w:szCs w:val="18"/>
                <w:lang w:val="ru-RU" w:bidi="ar-SA"/>
              </w:rPr>
              <w:t xml:space="preserve">Д КГО </w:t>
            </w:r>
            <w:r>
              <w:rPr>
                <w:rFonts w:eastAsia="Times New Roman" w:cs="Times New Roman" w:ascii="Times New Roman" w:hAnsi="Times New Roman"/>
                <w:b w:val="false"/>
                <w:bCs w:val="false"/>
                <w:kern w:val="0"/>
                <w:sz w:val="18"/>
                <w:szCs w:val="18"/>
                <w:lang w:val="ru-RU" w:bidi="ar-SA"/>
              </w:rPr>
              <w:t xml:space="preserve">от 03.07.2020 </w:t>
            </w:r>
            <w:r>
              <w:rPr>
                <w:rFonts w:eastAsia="Times New Roman" w:cs="Times New Roman" w:ascii="Times New Roman" w:hAnsi="Times New Roman"/>
                <w:b w:val="false"/>
                <w:bCs w:val="false"/>
                <w:kern w:val="0"/>
                <w:sz w:val="18"/>
                <w:szCs w:val="18"/>
                <w:lang w:val="ru-RU" w:bidi="ar-SA"/>
              </w:rPr>
              <w:t>№</w:t>
            </w:r>
            <w:r>
              <w:rPr>
                <w:rFonts w:eastAsia="Times New Roman" w:cs="Times New Roman" w:ascii="Times New Roman" w:hAnsi="Times New Roman"/>
                <w:b w:val="false"/>
                <w:bCs w:val="false"/>
                <w:kern w:val="0"/>
                <w:sz w:val="18"/>
                <w:szCs w:val="18"/>
                <w:lang w:val="ru-RU" w:bidi="ar-SA"/>
              </w:rPr>
              <w:t xml:space="preserve"> 897-МО «Об утверждении Правил благоустройства территории Копейского городского округа», в случае соблюдения порядка оспариваемого решения, признании противоречащими действующему законодательству и недействующими со дня вступления в законную силу решения суда пункта 36, подпункта 4 пункта 38, подпункта 1 пункта 43, пункта 46, пункта 99, пункта 109 Правил благоустройства</w:t>
            </w:r>
          </w:p>
        </w:tc>
        <w:tc>
          <w:tcPr>
            <w:tcW w:w="6804" w:type="dxa"/>
            <w:tcBorders/>
          </w:tcPr>
          <w:p>
            <w:pPr>
              <w:pStyle w:val="ConsPlusNormal"/>
              <w:widowControl w:val="false"/>
              <w:bidi w:val="0"/>
              <w:spacing w:lineRule="auto" w:line="240" w:beforeAutospacing="0" w:before="0" w:afterAutospacing="0" w:after="0"/>
              <w:ind w:hanging="0" w:left="57" w:right="113"/>
              <w:jc w:val="both"/>
              <w:rPr>
                <w:rFonts w:ascii="Calibri" w:hAnsi="Calibri" w:cs="Calibri"/>
                <w:kern w:val="0"/>
                <w:sz w:val="18"/>
                <w:szCs w:val="18"/>
                <w:lang w:val="ru-RU" w:bidi="ar-SA"/>
              </w:rPr>
            </w:pPr>
            <w:r>
              <w:rPr>
                <w:rFonts w:eastAsia="Times New Roman" w:cs="Times New Roman" w:ascii="Times New Roman" w:hAnsi="Times New Roman"/>
                <w:b w:val="false"/>
                <w:bCs w:val="false"/>
                <w:kern w:val="0"/>
                <w:sz w:val="18"/>
                <w:szCs w:val="18"/>
                <w:lang w:val="ru-RU" w:bidi="ar-SA"/>
              </w:rPr>
              <w:t>Призна</w:t>
            </w:r>
            <w:r>
              <w:rPr>
                <w:rFonts w:eastAsia="Times New Roman" w:cs="Times New Roman" w:ascii="Times New Roman" w:hAnsi="Times New Roman"/>
                <w:b w:val="false"/>
                <w:bCs w:val="false"/>
                <w:kern w:val="0"/>
                <w:sz w:val="18"/>
                <w:szCs w:val="18"/>
                <w:lang w:val="ru-RU" w:bidi="ar-SA"/>
              </w:rPr>
              <w:t>ны</w:t>
            </w:r>
            <w:r>
              <w:rPr>
                <w:rFonts w:eastAsia="Times New Roman" w:cs="Times New Roman" w:ascii="Times New Roman" w:hAnsi="Times New Roman"/>
                <w:b w:val="false"/>
                <w:bCs w:val="false"/>
                <w:kern w:val="0"/>
                <w:sz w:val="18"/>
                <w:szCs w:val="18"/>
                <w:lang w:val="ru-RU" w:bidi="ar-SA"/>
              </w:rPr>
              <w:t xml:space="preserve"> противоречащими действующему законодательству и недействующими с момента вступления решения суда в законную силу положения Правил благоустройства: Пукт 36, пункт 38, подпункт 1 пункта 43, пункт 109 в части, не устанавливающей для собственников и (или) иных законных владельцев помещений в многоквартирных домах, земельные участки под которыми не образованы по границам таких домов, исключения и предусматривающей участие, в том числе финансовое, в содержании прилегающих территорий; Пункт 46 в части, запрещающей складирование смета, образующегося при уборке придомовой территории, на площадках для сбора и временного хранения твердых коммунальных отходов; Пункт 99 в части, возлагающей на физических и юридических лиц, индивидуальных предпринимателей, осуществляющих содержание территории, здания, строения, сооружения, обязанность по обеспечению содержания площадок для сбора и временного хранения ТКО и прилегающей к ним территории в чистоте и порядке, очистке их от мусора согласно графику, а также в части обязанности по осуществлению раздельного сбора ТКО в случаях, когда такая обязанность в силу закона отсутствует.</w:t>
            </w:r>
          </w:p>
        </w:tc>
      </w:tr>
      <w:tr>
        <w:trPr/>
        <w:tc>
          <w:tcPr>
            <w:tcW w:w="2207" w:type="dxa"/>
            <w:tcBorders/>
          </w:tcPr>
          <w:p>
            <w:pPr>
              <w:pStyle w:val="ConsPlusNormal"/>
              <w:widowControl w:val="false"/>
              <w:bidi w:val="0"/>
              <w:spacing w:lineRule="auto" w:line="240" w:beforeAutospacing="0" w:before="0" w:afterAutospacing="0" w:after="0"/>
              <w:ind w:hanging="0" w:left="0" w:right="0"/>
              <w:jc w:val="both"/>
              <w:rPr>
                <w:rFonts w:ascii="Calibri" w:hAnsi="Calibri" w:cs="Calibri"/>
                <w:kern w:val="0"/>
                <w:sz w:val="18"/>
                <w:szCs w:val="18"/>
                <w:lang w:val="ru-RU" w:bidi="ar-SA"/>
              </w:rPr>
            </w:pPr>
            <w:r>
              <w:rPr>
                <w:rFonts w:eastAsia="Times New Roman" w:cs="Times New Roman" w:ascii="Times New Roman" w:hAnsi="Times New Roman"/>
                <w:b w:val="false"/>
                <w:bCs w:val="false"/>
                <w:kern w:val="0"/>
                <w:sz w:val="18"/>
                <w:szCs w:val="18"/>
                <w:lang w:val="ru-RU" w:bidi="ar-SA"/>
              </w:rPr>
              <w:t xml:space="preserve">№ </w:t>
            </w:r>
            <w:r>
              <w:rPr>
                <w:rFonts w:eastAsia="Times New Roman" w:cs="Times New Roman" w:ascii="Times New Roman" w:hAnsi="Times New Roman"/>
                <w:b w:val="false"/>
                <w:bCs w:val="false"/>
                <w:kern w:val="0"/>
                <w:sz w:val="18"/>
                <w:szCs w:val="18"/>
                <w:lang w:val="ru-RU" w:bidi="ar-SA"/>
              </w:rPr>
              <w:t>3а-15/2021, 10.08.2021</w:t>
            </w:r>
          </w:p>
        </w:tc>
        <w:tc>
          <w:tcPr>
            <w:tcW w:w="5957" w:type="dxa"/>
            <w:tcBorders/>
          </w:tcPr>
          <w:p>
            <w:pPr>
              <w:pStyle w:val="ConsPlusNormal"/>
              <w:widowControl w:val="false"/>
              <w:bidi w:val="0"/>
              <w:spacing w:lineRule="auto" w:line="240" w:beforeAutospacing="0" w:before="0" w:afterAutospacing="0" w:after="0"/>
              <w:ind w:hanging="0" w:left="113" w:right="0"/>
              <w:jc w:val="both"/>
              <w:rPr>
                <w:rFonts w:ascii="Calibri" w:hAnsi="Calibri" w:cs="Calibri"/>
                <w:kern w:val="0"/>
                <w:sz w:val="18"/>
                <w:szCs w:val="18"/>
                <w:lang w:val="ru-RU" w:bidi="ar-SA"/>
              </w:rPr>
            </w:pPr>
            <w:r>
              <w:rPr>
                <w:rFonts w:eastAsia="Times New Roman" w:cs="Times New Roman" w:ascii="Times New Roman" w:hAnsi="Times New Roman"/>
                <w:b w:val="false"/>
                <w:bCs w:val="false"/>
                <w:kern w:val="0"/>
                <w:sz w:val="18"/>
                <w:szCs w:val="18"/>
                <w:lang w:val="ru-RU" w:bidi="ar-SA"/>
              </w:rPr>
              <w:t>ООО «ЖУК» обратилось в суд с административным исковым заявлением о признании незаконным и недействующим с момента принятия решения С</w:t>
            </w:r>
            <w:r>
              <w:rPr>
                <w:rFonts w:eastAsia="Times New Roman" w:cs="Times New Roman" w:ascii="Times New Roman" w:hAnsi="Times New Roman"/>
                <w:b w:val="false"/>
                <w:bCs w:val="false"/>
                <w:kern w:val="0"/>
                <w:sz w:val="18"/>
                <w:szCs w:val="18"/>
                <w:lang w:val="ru-RU" w:bidi="ar-SA"/>
              </w:rPr>
              <w:t>Д КГО от</w:t>
            </w:r>
            <w:r>
              <w:rPr>
                <w:rFonts w:eastAsia="Times New Roman" w:cs="Times New Roman" w:ascii="Times New Roman" w:hAnsi="Times New Roman"/>
                <w:b w:val="false"/>
                <w:bCs w:val="false"/>
                <w:kern w:val="0"/>
                <w:sz w:val="18"/>
                <w:szCs w:val="18"/>
                <w:lang w:val="ru-RU" w:bidi="ar-SA"/>
              </w:rPr>
              <w:t xml:space="preserve"> 03.07.2020 № 897-МО «Об утверждении Правил благоустройства территории Копейского городского округа», в случае соблюдения порядка оспариваемого решения, признании противоречащими действующему законодательству и недействующими со дня вступления в законную силу решения суда пункта 36, подпункта 4 пункта 38, подпункта 1 пункта 43, пункта 46, пункта 99, пункта 109 Правил благоустройства</w:t>
            </w:r>
          </w:p>
        </w:tc>
        <w:tc>
          <w:tcPr>
            <w:tcW w:w="6804" w:type="dxa"/>
            <w:tcBorders/>
          </w:tcPr>
          <w:p>
            <w:pPr>
              <w:pStyle w:val="ConsPlusNormal"/>
              <w:widowControl w:val="false"/>
              <w:bidi w:val="0"/>
              <w:spacing w:lineRule="auto" w:line="240" w:beforeAutospacing="0" w:before="0" w:afterAutospacing="0" w:after="0"/>
              <w:ind w:hanging="0" w:left="113" w:right="113"/>
              <w:jc w:val="both"/>
              <w:rPr>
                <w:rFonts w:ascii="Calibri" w:hAnsi="Calibri" w:cs="Calibri"/>
                <w:kern w:val="0"/>
                <w:sz w:val="18"/>
                <w:szCs w:val="18"/>
                <w:lang w:val="ru-RU" w:bidi="ar-SA"/>
              </w:rPr>
            </w:pPr>
            <w:r>
              <w:rPr>
                <w:rFonts w:eastAsia="Times New Roman" w:cs="Times New Roman" w:ascii="Times New Roman" w:hAnsi="Times New Roman"/>
                <w:b w:val="false"/>
                <w:bCs w:val="false"/>
                <w:kern w:val="0"/>
                <w:sz w:val="18"/>
                <w:szCs w:val="18"/>
                <w:lang w:val="ru-RU" w:bidi="ar-SA"/>
              </w:rPr>
              <w:t>Призна</w:t>
            </w:r>
            <w:r>
              <w:rPr>
                <w:rFonts w:eastAsia="Times New Roman" w:cs="Times New Roman" w:ascii="Times New Roman" w:hAnsi="Times New Roman"/>
                <w:b w:val="false"/>
                <w:bCs w:val="false"/>
                <w:kern w:val="0"/>
                <w:sz w:val="18"/>
                <w:szCs w:val="18"/>
                <w:lang w:val="ru-RU" w:bidi="ar-SA"/>
              </w:rPr>
              <w:t>ны</w:t>
            </w:r>
            <w:r>
              <w:rPr>
                <w:rFonts w:eastAsia="Times New Roman" w:cs="Times New Roman" w:ascii="Times New Roman" w:hAnsi="Times New Roman"/>
                <w:b w:val="false"/>
                <w:bCs w:val="false"/>
                <w:kern w:val="0"/>
                <w:sz w:val="18"/>
                <w:szCs w:val="18"/>
                <w:lang w:val="ru-RU" w:bidi="ar-SA"/>
              </w:rPr>
              <w:t xml:space="preserve"> противоречащими действующему законодательству и недействующими с момента вступления решения суда в законную силу положения пункта 99 Правил благоустройства в части, возлагающей на физических и юридических лиц,индивидуальны предпринимателей, осуществляющих содержание территорий, здания строения, сооружения, обязанность по обеспечению устройства площадок для сбора и временного хранения ТКО и оборудованию их контейнерами (мусоросборниками) либо заключению договора на обращение с отходами с собственником контейнерной площадки или организацией, обслуживающей площадки для сбора и временного хранения ТКО в случаях, когда такая обязанность у них отсутствует в силу закона</w:t>
            </w:r>
          </w:p>
        </w:tc>
      </w:tr>
    </w:tbl>
    <w:p>
      <w:pPr>
        <w:pStyle w:val="ConsPlusNormal"/>
        <w:ind w:hanging="0" w:right="281"/>
        <w:jc w:val="both"/>
        <w:rPr>
          <w:rFonts w:ascii="Times New Roman" w:hAnsi="Times New Roman" w:eastAsia="Times New Roman" w:cs="Times New Roman"/>
          <w:b w:val="false"/>
          <w:bCs w:val="false"/>
          <w:sz w:val="24"/>
          <w:szCs w:val="24"/>
          <w:highlight w:val="none"/>
        </w:rPr>
      </w:pPr>
      <w:r>
        <w:rPr>
          <w:rFonts w:eastAsia="Times New Roman" w:cs="Times New Roman" w:ascii="Times New Roman" w:hAnsi="Times New Roman"/>
          <w:b w:val="false"/>
          <w:bCs w:val="false"/>
          <w:sz w:val="24"/>
          <w:szCs w:val="24"/>
        </w:rPr>
      </w:r>
    </w:p>
    <w:p>
      <w:pPr>
        <w:sectPr>
          <w:type w:val="nextPage"/>
          <w:pgSz w:orient="landscape" w:w="16838" w:h="11906"/>
          <w:pgMar w:left="1701" w:right="822" w:gutter="0" w:header="0" w:top="550" w:footer="0" w:bottom="198"/>
          <w:pgNumType w:fmt="decimal"/>
          <w:formProt w:val="false"/>
          <w:textDirection w:val="lrTb"/>
          <w:docGrid w:type="default" w:linePitch="360" w:charSpace="0"/>
        </w:sectPr>
        <w:pStyle w:val="Normal"/>
        <w:ind w:firstLine="709"/>
        <w:jc w:val="center"/>
        <w:rPr>
          <w:rFonts w:ascii="Times New Roman" w:hAnsi="Times New Roman" w:cs="Times New Roman"/>
          <w:b/>
          <w:bCs/>
          <w:sz w:val="26"/>
          <w:szCs w:val="26"/>
        </w:rPr>
      </w:pPr>
      <w:r>
        <w:rPr>
          <w:rFonts w:cs="Times New Roman"/>
          <w:b/>
          <w:bCs/>
          <w:sz w:val="26"/>
          <w:szCs w:val="26"/>
        </w:rPr>
      </w:r>
    </w:p>
    <w:p>
      <w:pPr>
        <w:pStyle w:val="Normal"/>
        <w:ind w:firstLine="709"/>
        <w:jc w:val="center"/>
        <w:rPr>
          <w:rFonts w:ascii="Times New Roman" w:hAnsi="Times New Roman" w:cs="Times New Roman"/>
          <w:b/>
          <w:bCs/>
          <w:sz w:val="26"/>
          <w:szCs w:val="26"/>
          <w:highlight w:val="none"/>
        </w:rPr>
      </w:pPr>
      <w:r>
        <w:rPr>
          <w:rFonts w:cs="Times New Roman"/>
          <w:b/>
          <w:bCs/>
          <w:sz w:val="26"/>
          <w:szCs w:val="26"/>
        </w:rPr>
      </w:r>
    </w:p>
    <w:p>
      <w:pPr>
        <w:pStyle w:val="Normal"/>
        <w:ind w:firstLine="709"/>
        <w:jc w:val="center"/>
        <w:rPr>
          <w:rFonts w:ascii="Times New Roman" w:hAnsi="Times New Roman" w:cs="Times New Roman"/>
          <w:b/>
          <w:bCs/>
          <w:sz w:val="26"/>
          <w:szCs w:val="26"/>
          <w:highlight w:val="none"/>
        </w:rPr>
      </w:pPr>
      <w:r>
        <w:rPr>
          <w:rFonts w:cs="Times New Roman"/>
          <w:b/>
          <w:bCs/>
          <w:sz w:val="26"/>
          <w:szCs w:val="26"/>
        </w:rPr>
        <w:t>3.5</w:t>
      </w:r>
      <w:bookmarkStart w:id="54" w:name="sub_1112"/>
      <w:r>
        <w:rPr>
          <w:rFonts w:cs="Times New Roman"/>
          <w:sz w:val="26"/>
          <w:szCs w:val="26"/>
        </w:rPr>
        <w:t xml:space="preserve"> </w:t>
      </w:r>
      <w:r>
        <w:rPr>
          <w:rFonts w:cs="Times New Roman"/>
          <w:b/>
          <w:bCs/>
          <w:sz w:val="26"/>
          <w:szCs w:val="26"/>
        </w:rPr>
        <w:t>Оценка эффективности введения обязательных требований и достижение целей их установления</w:t>
      </w:r>
    </w:p>
    <w:p>
      <w:pPr>
        <w:pStyle w:val="Normal"/>
        <w:ind w:firstLine="709"/>
        <w:jc w:val="both"/>
        <w:rPr>
          <w:rFonts w:ascii="Times New Roman" w:hAnsi="Times New Roman" w:cs="Times New Roman"/>
          <w:sz w:val="26"/>
          <w:szCs w:val="26"/>
        </w:rPr>
      </w:pPr>
      <w:r>
        <w:rPr>
          <w:rFonts w:cs="Times New Roman"/>
          <w:sz w:val="28"/>
          <w:szCs w:val="28"/>
        </w:rPr>
        <w:t xml:space="preserve"> </w:t>
      </w:r>
      <w:r>
        <w:rPr>
          <w:rFonts w:cs="Times New Roman"/>
          <w:sz w:val="26"/>
          <w:szCs w:val="26"/>
        </w:rPr>
        <w:t>Деятельность органа муниципального контроля осуществляется на основе системы показателей результативности и эффективности муниципального контроля.</w:t>
      </w:r>
      <w:bookmarkEnd w:id="54"/>
    </w:p>
    <w:p>
      <w:pPr>
        <w:pStyle w:val="Normal"/>
        <w:ind w:firstLine="709"/>
        <w:jc w:val="both"/>
        <w:rPr>
          <w:rFonts w:ascii="Times New Roman" w:hAnsi="Times New Roman" w:cs="Times New Roman"/>
          <w:sz w:val="28"/>
          <w:szCs w:val="28"/>
        </w:rPr>
      </w:pPr>
      <w:r>
        <w:rPr>
          <w:rFonts w:cs="Times New Roman"/>
          <w:sz w:val="26"/>
          <w:szCs w:val="26"/>
        </w:rPr>
        <w:t>Оценка результативности и эффективности деятельности по осуществлению муниципального контроля в сфере благоустройства осуществляется посредством:</w:t>
      </w:r>
    </w:p>
    <w:p>
      <w:pPr>
        <w:pStyle w:val="Normal"/>
        <w:ind w:firstLine="709"/>
        <w:jc w:val="both"/>
        <w:rPr>
          <w:rFonts w:ascii="Times New Roman" w:hAnsi="Times New Roman" w:cs="Times New Roman"/>
          <w:sz w:val="28"/>
          <w:szCs w:val="28"/>
          <w:highlight w:val="none"/>
        </w:rPr>
      </w:pPr>
      <w:r>
        <w:rPr>
          <w:rFonts w:cs="Times New Roman"/>
          <w:sz w:val="26"/>
          <w:szCs w:val="26"/>
        </w:rPr>
        <w:t>1) определением ключевого показателя муниципального контроля в сфере благоустройства, отражающего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орган муниципального контроля;</w:t>
      </w:r>
    </w:p>
    <w:p>
      <w:pPr>
        <w:pStyle w:val="Normal"/>
        <w:ind w:firstLine="709"/>
        <w:jc w:val="both"/>
        <w:rPr>
          <w:rFonts w:ascii="Times New Roman" w:hAnsi="Times New Roman" w:cs="Times New Roman"/>
          <w:sz w:val="28"/>
          <w:szCs w:val="28"/>
        </w:rPr>
      </w:pPr>
      <w:r>
        <w:rPr>
          <w:rFonts w:cs="Times New Roman"/>
          <w:b w:val="false"/>
          <w:bCs w:val="false"/>
          <w:sz w:val="26"/>
          <w:szCs w:val="26"/>
        </w:rPr>
        <w:t>Ключевыми показателями муниципального</w:t>
      </w:r>
      <w:r>
        <w:rPr>
          <w:rFonts w:cs="Times New Roman"/>
          <w:b/>
          <w:bCs/>
          <w:sz w:val="26"/>
          <w:szCs w:val="26"/>
        </w:rPr>
        <w:t xml:space="preserve"> </w:t>
      </w:r>
      <w:r>
        <w:rPr>
          <w:rFonts w:cs="Times New Roman"/>
          <w:sz w:val="26"/>
          <w:szCs w:val="26"/>
        </w:rPr>
        <w:t>контроля являются:</w:t>
      </w:r>
    </w:p>
    <w:p>
      <w:pPr>
        <w:pStyle w:val="Normal"/>
        <w:ind w:firstLine="709"/>
        <w:jc w:val="both"/>
        <w:rPr>
          <w:rFonts w:ascii="Times New Roman" w:hAnsi="Times New Roman" w:cs="Times New Roman"/>
          <w:sz w:val="28"/>
          <w:szCs w:val="28"/>
        </w:rPr>
      </w:pPr>
      <w:r>
        <w:rPr>
          <w:rFonts w:cs="Times New Roman"/>
          <w:sz w:val="26"/>
          <w:szCs w:val="26"/>
        </w:rPr>
        <w:t xml:space="preserve">Количество погибших вследствие нарушения </w:t>
      </w:r>
      <w:hyperlink r:id="rId43" w:tooltip="https://internet.garant.ru/document/redirect/74355208/1000">
        <w:r>
          <w:rPr>
            <w:rStyle w:val="Style"/>
            <w:rFonts w:cs="Times New Roman"/>
            <w:b w:val="false"/>
            <w:b w:val="false"/>
            <w:color w:val="auto"/>
            <w:sz w:val="26"/>
            <w:szCs w:val="26"/>
          </w:rPr>
          <w:t>правил</w:t>
        </w:r>
      </w:hyperlink>
      <w:r>
        <w:rPr>
          <w:rFonts w:cs="Times New Roman"/>
          <w:sz w:val="26"/>
          <w:szCs w:val="26"/>
        </w:rPr>
        <w:t xml:space="preserve"> благоустройства территории муниципального образования (рассчитывается в процентном соотношении на 10 </w:t>
      </w:r>
      <w:r>
        <w:rPr>
          <w:rFonts w:cs="Times New Roman"/>
          <w:sz w:val="26"/>
          <w:szCs w:val="26"/>
        </w:rPr>
        <w:t>тыс.</w:t>
      </w:r>
      <w:r>
        <w:rPr>
          <w:rFonts w:cs="Times New Roman"/>
          <w:sz w:val="26"/>
          <w:szCs w:val="26"/>
        </w:rPr>
        <w:t xml:space="preserve"> населения) - 0 человек.</w:t>
      </w:r>
    </w:p>
    <w:p>
      <w:pPr>
        <w:pStyle w:val="Normal"/>
        <w:ind w:firstLine="709"/>
        <w:jc w:val="both"/>
        <w:rPr>
          <w:rFonts w:ascii="Times New Roman" w:hAnsi="Times New Roman" w:cs="Times New Roman"/>
          <w:sz w:val="28"/>
          <w:szCs w:val="28"/>
        </w:rPr>
      </w:pPr>
      <w:r>
        <w:rPr>
          <w:rFonts w:cs="Times New Roman"/>
          <w:sz w:val="26"/>
          <w:szCs w:val="26"/>
        </w:rPr>
        <w:t xml:space="preserve">Количество получивших вред здоровью вследствие нарушения </w:t>
      </w:r>
      <w:hyperlink r:id="rId44" w:tooltip="https://internet.garant.ru/document/redirect/74355208/1000">
        <w:r>
          <w:rPr>
            <w:rStyle w:val="Style"/>
            <w:rFonts w:cs="Times New Roman"/>
            <w:b w:val="false"/>
            <w:b w:val="false"/>
            <w:color w:val="auto"/>
            <w:sz w:val="26"/>
            <w:szCs w:val="26"/>
          </w:rPr>
          <w:t>правил</w:t>
        </w:r>
      </w:hyperlink>
      <w:r>
        <w:rPr>
          <w:rFonts w:cs="Times New Roman"/>
          <w:sz w:val="26"/>
          <w:szCs w:val="26"/>
        </w:rPr>
        <w:t xml:space="preserve"> благоустройства территории муниципального образования (рассчитывается в процентном соотношении на 10000 населения) - 0 человек.</w:t>
      </w:r>
    </w:p>
    <w:p>
      <w:pPr>
        <w:pStyle w:val="Normal"/>
        <w:ind w:firstLine="709"/>
        <w:jc w:val="both"/>
        <w:rPr>
          <w:rFonts w:ascii="Times New Roman" w:hAnsi="Times New Roman" w:cs="Times New Roman"/>
          <w:sz w:val="28"/>
          <w:szCs w:val="28"/>
          <w:highlight w:val="none"/>
        </w:rPr>
      </w:pPr>
      <w:r>
        <w:rPr>
          <w:rFonts w:cs="Times New Roman"/>
          <w:sz w:val="26"/>
          <w:szCs w:val="26"/>
        </w:rPr>
        <w:t>2) определения индикативных показателей муниципального контроля в сфере благоустройства,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pPr>
        <w:pStyle w:val="ConsPlusNormal"/>
        <w:numPr>
          <w:ilvl w:val="0"/>
          <w:numId w:val="1"/>
        </w:numPr>
        <w:spacing w:before="0" w:after="0"/>
        <w:ind w:firstLine="709" w:left="0"/>
        <w:jc w:val="both"/>
        <w:rPr>
          <w:rFonts w:ascii="Times New Roman" w:hAnsi="Times New Roman" w:cs="Times New Roman"/>
          <w:sz w:val="28"/>
          <w:szCs w:val="28"/>
        </w:rPr>
      </w:pPr>
      <w:r>
        <w:rPr>
          <w:rFonts w:cs="Times New Roman" w:ascii="Times New Roman" w:hAnsi="Times New Roman"/>
          <w:sz w:val="26"/>
          <w:szCs w:val="26"/>
        </w:rPr>
        <w:t>Количество внеплановых контрольных (надзорных) мероприятий, проведенных за отчетный период – 439.</w:t>
      </w:r>
    </w:p>
    <w:p>
      <w:pPr>
        <w:pStyle w:val="ListParagraph"/>
        <w:numPr>
          <w:ilvl w:val="0"/>
          <w:numId w:val="1"/>
        </w:numPr>
        <w:spacing w:lineRule="auto" w:line="240" w:before="0" w:after="0"/>
        <w:ind w:firstLine="709" w:left="0"/>
        <w:contextualSpacing/>
        <w:jc w:val="both"/>
        <w:rPr>
          <w:rFonts w:ascii="Times New Roman" w:hAnsi="Times New Roman"/>
          <w:sz w:val="28"/>
          <w:szCs w:val="28"/>
        </w:rPr>
      </w:pPr>
      <w:r>
        <w:rPr>
          <w:sz w:val="26"/>
          <w:szCs w:val="26"/>
        </w:rPr>
        <w:t>Общее количество контрольных (надзорных) мероприятий с взаимодействием с контролируемыми лицами, проведенных за отчетный период – 0.</w:t>
      </w:r>
    </w:p>
    <w:p>
      <w:pPr>
        <w:pStyle w:val="ListParagraph"/>
        <w:numPr>
          <w:ilvl w:val="0"/>
          <w:numId w:val="1"/>
        </w:numPr>
        <w:spacing w:lineRule="auto" w:line="240" w:before="0" w:after="0"/>
        <w:ind w:firstLine="709" w:left="0"/>
        <w:contextualSpacing/>
        <w:jc w:val="both"/>
        <w:rPr>
          <w:rFonts w:ascii="Times New Roman" w:hAnsi="Times New Roman"/>
          <w:sz w:val="28"/>
          <w:szCs w:val="28"/>
        </w:rPr>
      </w:pPr>
      <w:r>
        <w:rPr>
          <w:sz w:val="26"/>
          <w:szCs w:val="26"/>
        </w:rPr>
        <w:t>Количество контрольных (надзорных) мероприятий с взаимодействием с контролируемыми лицами по каждому виду контрольных (надзорных) мероприятий, проведенных за отчетный период – 0.</w:t>
      </w:r>
    </w:p>
    <w:p>
      <w:pPr>
        <w:pStyle w:val="ListParagraph"/>
        <w:numPr>
          <w:ilvl w:val="0"/>
          <w:numId w:val="1"/>
        </w:numPr>
        <w:spacing w:lineRule="auto" w:line="240" w:before="0" w:after="0"/>
        <w:ind w:firstLine="709" w:left="0"/>
        <w:contextualSpacing/>
        <w:jc w:val="both"/>
        <w:rPr>
          <w:rFonts w:ascii="Times New Roman" w:hAnsi="Times New Roman"/>
          <w:sz w:val="28"/>
          <w:szCs w:val="28"/>
        </w:rPr>
      </w:pPr>
      <w:r>
        <w:rPr>
          <w:sz w:val="26"/>
          <w:szCs w:val="26"/>
        </w:rPr>
        <w:t>Количество контрольных (надзорных) мероприятий, проведенных с использованием средств дистанционного взаимодействия за отчетный период – 0.</w:t>
      </w:r>
    </w:p>
    <w:p>
      <w:pPr>
        <w:pStyle w:val="ListParagraph"/>
        <w:numPr>
          <w:ilvl w:val="0"/>
          <w:numId w:val="1"/>
        </w:numPr>
        <w:spacing w:lineRule="auto" w:line="240" w:before="0" w:after="0"/>
        <w:ind w:firstLine="709" w:left="0"/>
        <w:contextualSpacing/>
        <w:jc w:val="both"/>
        <w:rPr>
          <w:rFonts w:ascii="Times New Roman" w:hAnsi="Times New Roman"/>
          <w:sz w:val="28"/>
          <w:szCs w:val="28"/>
        </w:rPr>
      </w:pPr>
      <w:r>
        <w:rPr>
          <w:sz w:val="26"/>
          <w:szCs w:val="26"/>
        </w:rPr>
        <w:t>Количество профилактических визитов, из них обязательных профилактических визитов, проведенных за отчетный период – 0.</w:t>
      </w:r>
    </w:p>
    <w:p>
      <w:pPr>
        <w:pStyle w:val="ListParagraph"/>
        <w:numPr>
          <w:ilvl w:val="0"/>
          <w:numId w:val="1"/>
        </w:numPr>
        <w:spacing w:lineRule="auto" w:line="240" w:before="0" w:after="0"/>
        <w:ind w:firstLine="709" w:left="0"/>
        <w:contextualSpacing/>
        <w:jc w:val="both"/>
        <w:rPr>
          <w:rFonts w:ascii="Times New Roman" w:hAnsi="Times New Roman"/>
          <w:sz w:val="28"/>
          <w:szCs w:val="28"/>
        </w:rPr>
      </w:pPr>
      <w:r>
        <w:rPr>
          <w:sz w:val="26"/>
          <w:szCs w:val="26"/>
        </w:rPr>
        <w:t>Количество предостережений о недопустимости нарушения обязательных требований, объявленных за отчетный период – 261.</w:t>
      </w:r>
    </w:p>
    <w:p>
      <w:pPr>
        <w:pStyle w:val="ListParagraph"/>
        <w:numPr>
          <w:ilvl w:val="0"/>
          <w:numId w:val="1"/>
        </w:numPr>
        <w:spacing w:lineRule="auto" w:line="240" w:before="0" w:after="0"/>
        <w:ind w:firstLine="709" w:left="0"/>
        <w:contextualSpacing/>
        <w:jc w:val="both"/>
        <w:rPr>
          <w:rFonts w:ascii="Times New Roman" w:hAnsi="Times New Roman"/>
          <w:sz w:val="28"/>
          <w:szCs w:val="28"/>
        </w:rPr>
      </w:pPr>
      <w:r>
        <w:rPr>
          <w:sz w:val="26"/>
          <w:szCs w:val="26"/>
        </w:rPr>
        <w:t>Количество контрольных (надзорных) мероприятий, по результатам которых выявлены нарушения обязательных требований, за отчетный период – 277.</w:t>
      </w:r>
    </w:p>
    <w:p>
      <w:pPr>
        <w:pStyle w:val="ListParagraph"/>
        <w:numPr>
          <w:ilvl w:val="0"/>
          <w:numId w:val="1"/>
        </w:numPr>
        <w:spacing w:lineRule="auto" w:line="240" w:before="0" w:after="0"/>
        <w:ind w:firstLine="709" w:left="0"/>
        <w:contextualSpacing/>
        <w:jc w:val="both"/>
        <w:rPr>
          <w:rFonts w:ascii="Times New Roman" w:hAnsi="Times New Roman"/>
          <w:sz w:val="28"/>
          <w:szCs w:val="28"/>
        </w:rPr>
      </w:pPr>
      <w:r>
        <w:rPr>
          <w:sz w:val="26"/>
          <w:szCs w:val="26"/>
        </w:rPr>
        <w:t>Количество контрольных (надзорных) мероприятий, по итогам которых возбуждены дела об административных правонарушениях, за отчетный период - 6 дел об административных правонарушениях.</w:t>
      </w:r>
    </w:p>
    <w:p>
      <w:pPr>
        <w:pStyle w:val="ListParagraph"/>
        <w:numPr>
          <w:ilvl w:val="0"/>
          <w:numId w:val="1"/>
        </w:numPr>
        <w:spacing w:lineRule="auto" w:line="240" w:before="0" w:after="0"/>
        <w:ind w:firstLine="709" w:left="0"/>
        <w:contextualSpacing/>
        <w:jc w:val="both"/>
        <w:rPr>
          <w:rFonts w:ascii="Times New Roman" w:hAnsi="Times New Roman"/>
          <w:sz w:val="28"/>
          <w:szCs w:val="28"/>
        </w:rPr>
      </w:pPr>
      <w:r>
        <w:rPr>
          <w:sz w:val="26"/>
          <w:szCs w:val="26"/>
        </w:rPr>
        <w:t>Сумма административных штрафов, наложенных на контролируемых лиц в соответствии с Кодексом Российской Федерации об административных правонарушениях по результатам контрольных (надзорных) мероприятий за отчетный период – 26 800 руб.</w:t>
      </w:r>
    </w:p>
    <w:p>
      <w:pPr>
        <w:pStyle w:val="ListParagraph"/>
        <w:numPr>
          <w:ilvl w:val="0"/>
          <w:numId w:val="1"/>
        </w:numPr>
        <w:spacing w:lineRule="auto" w:line="240" w:before="0" w:after="0"/>
        <w:ind w:firstLine="709" w:left="0"/>
        <w:contextualSpacing/>
        <w:jc w:val="both"/>
        <w:rPr>
          <w:rFonts w:ascii="Times New Roman" w:hAnsi="Times New Roman"/>
          <w:sz w:val="28"/>
          <w:szCs w:val="28"/>
        </w:rPr>
      </w:pPr>
      <w:r>
        <w:rPr>
          <w:sz w:val="26"/>
          <w:szCs w:val="26"/>
        </w:rPr>
        <w:t>Количество направленных в органы прокуратуры заявлений о согласовании проведения контрольных мероприятий за отчетный период – 0.</w:t>
      </w:r>
    </w:p>
    <w:p>
      <w:pPr>
        <w:pStyle w:val="ListParagraph"/>
        <w:numPr>
          <w:ilvl w:val="0"/>
          <w:numId w:val="1"/>
        </w:numPr>
        <w:spacing w:lineRule="auto" w:line="240" w:before="0" w:after="0"/>
        <w:ind w:firstLine="709" w:left="0"/>
        <w:contextualSpacing/>
        <w:jc w:val="both"/>
        <w:rPr>
          <w:rFonts w:ascii="Times New Roman" w:hAnsi="Times New Roman"/>
          <w:sz w:val="28"/>
          <w:szCs w:val="28"/>
        </w:rPr>
      </w:pPr>
      <w:r>
        <w:rPr>
          <w:sz w:val="26"/>
          <w:szCs w:val="26"/>
        </w:rPr>
        <w:t>Количество направленных в органы прокуратуры заявлений о согласовании проведения контрольных (надзорных) мероприятий, по которым органами прокуратуры принято решение об отказе в их согласовании – 0.</w:t>
      </w:r>
    </w:p>
    <w:p>
      <w:pPr>
        <w:pStyle w:val="ListParagraph"/>
        <w:numPr>
          <w:ilvl w:val="0"/>
          <w:numId w:val="1"/>
        </w:numPr>
        <w:spacing w:lineRule="auto" w:line="240" w:before="0" w:after="0"/>
        <w:ind w:firstLine="709" w:left="0"/>
        <w:contextualSpacing/>
        <w:jc w:val="both"/>
        <w:rPr>
          <w:rFonts w:ascii="Times New Roman" w:hAnsi="Times New Roman"/>
          <w:sz w:val="28"/>
          <w:szCs w:val="28"/>
        </w:rPr>
      </w:pPr>
      <w:r>
        <w:rPr>
          <w:sz w:val="26"/>
          <w:szCs w:val="26"/>
        </w:rPr>
        <w:t>Количество жалоб, в отношении которых контрольным (надзорным) органом был нарушен срок рассмотрения, за отчетный период – 0.</w:t>
      </w:r>
    </w:p>
    <w:p>
      <w:pPr>
        <w:pStyle w:val="ListParagraph"/>
        <w:numPr>
          <w:ilvl w:val="0"/>
          <w:numId w:val="1"/>
        </w:numPr>
        <w:spacing w:lineRule="auto" w:line="240" w:before="0" w:after="0"/>
        <w:ind w:firstLine="709" w:left="0"/>
        <w:contextualSpacing/>
        <w:jc w:val="both"/>
        <w:rPr>
          <w:rFonts w:ascii="Times New Roman" w:hAnsi="Times New Roman"/>
          <w:sz w:val="28"/>
          <w:szCs w:val="28"/>
        </w:rPr>
      </w:pPr>
      <w:r>
        <w:rPr>
          <w:sz w:val="26"/>
          <w:szCs w:val="26"/>
        </w:rPr>
        <w:t>Количество решений контрольного (надзорного) органа, действий (бездействия) его должностных лиц, оспоренных контролируемыми лицами в судебном порядке, за отчетный период – 0.</w:t>
      </w:r>
    </w:p>
    <w:p>
      <w:pPr>
        <w:pStyle w:val="ListParagraph"/>
        <w:numPr>
          <w:ilvl w:val="0"/>
          <w:numId w:val="1"/>
        </w:numPr>
        <w:spacing w:lineRule="auto" w:line="240" w:before="0" w:after="0"/>
        <w:ind w:firstLine="709" w:left="0"/>
        <w:contextualSpacing/>
        <w:jc w:val="both"/>
        <w:rPr>
          <w:rFonts w:ascii="Times New Roman" w:hAnsi="Times New Roman"/>
          <w:sz w:val="28"/>
          <w:szCs w:val="28"/>
        </w:rPr>
      </w:pPr>
      <w:r>
        <w:rPr>
          <w:sz w:val="26"/>
          <w:szCs w:val="26"/>
        </w:rPr>
        <w:t>Количество решений контрольного (надзорного) органа, действий (бездействия) его должностных лиц, оспоренных контролируемыми лицами в судебном порядке, по которым принято решение об удовлетворении заявленных требований, за отчетный период - отсутствует</w:t>
      </w:r>
    </w:p>
    <w:p>
      <w:pPr>
        <w:pStyle w:val="ListParagraph"/>
        <w:numPr>
          <w:ilvl w:val="0"/>
          <w:numId w:val="1"/>
        </w:numPr>
        <w:spacing w:lineRule="auto" w:line="240" w:before="0" w:after="0"/>
        <w:ind w:firstLine="709" w:left="0"/>
        <w:contextualSpacing/>
        <w:jc w:val="both"/>
        <w:rPr>
          <w:rFonts w:ascii="Times New Roman" w:hAnsi="Times New Roman"/>
          <w:sz w:val="28"/>
          <w:szCs w:val="28"/>
        </w:rPr>
      </w:pPr>
      <w:r>
        <w:rPr>
          <w:sz w:val="26"/>
          <w:szCs w:val="26"/>
        </w:rPr>
        <w:t>Количество контрольных (надзорных) мероприятий, проведенных с грубым нарушением требований к организации и осуществлению муниципального контроля (надзора) результаты, которых были признаны недействительными, за отчетный период – отсутствует.</w:t>
      </w:r>
    </w:p>
    <w:p>
      <w:pPr>
        <w:pStyle w:val="Normal"/>
        <w:spacing w:lineRule="auto" w:line="240" w:before="0" w:after="0"/>
        <w:ind w:firstLine="708"/>
        <w:jc w:val="both"/>
        <w:rPr>
          <w:rFonts w:ascii="Times New Roman" w:hAnsi="Times New Roman"/>
          <w:sz w:val="28"/>
          <w:szCs w:val="28"/>
        </w:rPr>
      </w:pPr>
      <w:r>
        <w:rPr>
          <w:sz w:val="26"/>
          <w:szCs w:val="26"/>
        </w:rPr>
        <w:t xml:space="preserve">Таким образом достигнуты </w:t>
      </w:r>
      <w:r>
        <w:rPr>
          <w:rFonts w:cs="Times New Roman"/>
          <w:sz w:val="26"/>
          <w:szCs w:val="26"/>
        </w:rPr>
        <w:t>показатели результативности и эффективности муниципального контроля.</w:t>
      </w:r>
    </w:p>
    <w:p>
      <w:pPr>
        <w:pStyle w:val="Normal"/>
        <w:spacing w:lineRule="auto" w:line="240" w:before="0" w:after="0"/>
        <w:jc w:val="center"/>
        <w:rPr>
          <w:rFonts w:ascii="Times New Roman" w:hAnsi="Times New Roman"/>
          <w:sz w:val="28"/>
          <w:szCs w:val="28"/>
        </w:rPr>
      </w:pPr>
      <w:r>
        <w:rPr>
          <w:sz w:val="28"/>
          <w:szCs w:val="28"/>
        </w:rPr>
      </w:r>
    </w:p>
    <w:p>
      <w:pPr>
        <w:pStyle w:val="Normal"/>
        <w:spacing w:lineRule="auto" w:line="240" w:before="0" w:after="0"/>
        <w:jc w:val="center"/>
        <w:rPr>
          <w:rFonts w:ascii="Times New Roman" w:hAnsi="Times New Roman"/>
          <w:b/>
          <w:bCs/>
          <w:sz w:val="26"/>
          <w:szCs w:val="26"/>
          <w:highlight w:val="none"/>
        </w:rPr>
      </w:pPr>
      <w:r>
        <w:rPr>
          <w:b/>
          <w:bCs/>
          <w:sz w:val="26"/>
          <w:szCs w:val="26"/>
        </w:rPr>
        <w:t>3.6 Выявленные избыточные обязательные требования</w:t>
      </w:r>
    </w:p>
    <w:p>
      <w:pPr>
        <w:pStyle w:val="Normal"/>
        <w:spacing w:lineRule="auto" w:line="242" w:before="0" w:after="0"/>
        <w:ind w:firstLine="540" w:left="0" w:right="0"/>
        <w:jc w:val="both"/>
        <w:rPr>
          <w:rFonts w:ascii="Times New Roman" w:hAnsi="Times New Roman" w:cs="Times New Roman"/>
          <w:sz w:val="26"/>
          <w:szCs w:val="26"/>
          <w:highlight w:val="none"/>
        </w:rPr>
      </w:pPr>
      <w:r>
        <w:rPr>
          <w:rFonts w:cs="Times New Roman"/>
          <w:sz w:val="26"/>
          <w:szCs w:val="26"/>
        </w:rPr>
        <w:t>Избыточные обязательные требования отсутствуют.</w:t>
      </w:r>
    </w:p>
    <w:p>
      <w:pPr>
        <w:pStyle w:val="Normal"/>
        <w:spacing w:lineRule="auto" w:line="240" w:before="0" w:after="0"/>
        <w:jc w:val="center"/>
        <w:rPr>
          <w:rFonts w:ascii="Times New Roman" w:hAnsi="Times New Roman"/>
          <w:b/>
          <w:bCs/>
          <w:sz w:val="26"/>
          <w:szCs w:val="26"/>
          <w:highlight w:val="none"/>
        </w:rPr>
      </w:pPr>
      <w:r>
        <w:rPr>
          <w:b/>
          <w:bCs/>
          <w:sz w:val="26"/>
          <w:szCs w:val="26"/>
        </w:rPr>
      </w:r>
    </w:p>
    <w:p>
      <w:pPr>
        <w:pStyle w:val="Normal"/>
        <w:spacing w:lineRule="auto" w:line="240" w:before="0" w:after="0"/>
        <w:jc w:val="center"/>
        <w:rPr>
          <w:rFonts w:ascii="Times New Roman" w:hAnsi="Times New Roman"/>
          <w:b/>
          <w:bCs/>
          <w:sz w:val="26"/>
          <w:szCs w:val="26"/>
          <w:highlight w:val="none"/>
        </w:rPr>
      </w:pPr>
      <w:r>
        <w:rPr>
          <w:b/>
          <w:bCs/>
          <w:sz w:val="26"/>
          <w:szCs w:val="26"/>
        </w:rPr>
        <w:t>4. Выводы</w:t>
      </w:r>
    </w:p>
    <w:p>
      <w:pPr>
        <w:pStyle w:val="Normal"/>
        <w:spacing w:lineRule="auto" w:line="240" w:before="0" w:after="0"/>
        <w:jc w:val="center"/>
        <w:rPr>
          <w:rFonts w:ascii="Times New Roman" w:hAnsi="Times New Roman"/>
          <w:b/>
          <w:bCs/>
          <w:sz w:val="26"/>
          <w:szCs w:val="26"/>
          <w:highlight w:val="none"/>
        </w:rPr>
      </w:pPr>
      <w:r>
        <w:rPr>
          <w:b/>
          <w:bCs/>
          <w:sz w:val="26"/>
          <w:szCs w:val="26"/>
        </w:rPr>
        <w:t xml:space="preserve">4.1 Выводы об учете принципов установления и оценки применения </w:t>
      </w:r>
    </w:p>
    <w:p>
      <w:pPr>
        <w:pStyle w:val="Normal"/>
        <w:spacing w:lineRule="auto" w:line="240" w:before="0" w:after="0"/>
        <w:jc w:val="center"/>
        <w:rPr>
          <w:rFonts w:ascii="Times New Roman" w:hAnsi="Times New Roman"/>
          <w:b/>
          <w:bCs/>
          <w:sz w:val="26"/>
          <w:szCs w:val="26"/>
          <w:highlight w:val="none"/>
        </w:rPr>
      </w:pPr>
      <w:r>
        <w:rPr>
          <w:b/>
          <w:bCs/>
          <w:sz w:val="26"/>
          <w:szCs w:val="26"/>
        </w:rPr>
        <w:t xml:space="preserve">обязательных требований, установленных </w:t>
      </w:r>
    </w:p>
    <w:p>
      <w:pPr>
        <w:pStyle w:val="Normal"/>
        <w:spacing w:lineRule="auto" w:line="240" w:before="0" w:after="0"/>
        <w:jc w:val="center"/>
        <w:rPr>
          <w:rFonts w:ascii="Times New Roman" w:hAnsi="Times New Roman"/>
          <w:b/>
          <w:bCs/>
          <w:sz w:val="26"/>
          <w:szCs w:val="26"/>
          <w:highlight w:val="none"/>
        </w:rPr>
      </w:pPr>
      <w:r>
        <w:rPr>
          <w:b/>
          <w:bCs/>
          <w:sz w:val="26"/>
          <w:szCs w:val="26"/>
        </w:rPr>
        <w:t>статьей 4 Федерального закона № 247-ФЗ</w:t>
      </w:r>
    </w:p>
    <w:p>
      <w:pPr>
        <w:pStyle w:val="Normal"/>
        <w:spacing w:lineRule="auto" w:line="242" w:before="0" w:after="0"/>
        <w:ind w:firstLine="540" w:left="0" w:right="0"/>
        <w:jc w:val="both"/>
        <w:rPr>
          <w:rFonts w:ascii="Times New Roman" w:hAnsi="Times New Roman" w:cs="Times New Roman"/>
          <w:sz w:val="26"/>
          <w:szCs w:val="26"/>
        </w:rPr>
      </w:pPr>
      <w:r>
        <w:rPr>
          <w:rFonts w:cs="Times New Roman"/>
          <w:sz w:val="26"/>
          <w:szCs w:val="26"/>
        </w:rPr>
        <w:t>Обязательные требования, предусмотренные Правилами благоустройства, соответствуют признакам законности, обоснованности обязательных требований, правовой определенности и системности, открытости и предсказуемости, исполнимости обязательных требований, исключительно в</w:t>
      </w:r>
      <w:r>
        <w:rPr>
          <w:rFonts w:eastAsia="Times New Roman" w:cs="Times New Roman"/>
          <w:sz w:val="26"/>
          <w:szCs w:val="26"/>
        </w:rPr>
        <w:t xml:space="preserve"> </w:t>
      </w:r>
      <w:r>
        <w:rPr>
          <w:rFonts w:eastAsia="Times New Roman" w:cs="Times New Roman"/>
          <w:b w:val="false"/>
          <w:i w:val="false"/>
          <w:strike w:val="false"/>
          <w:dstrike w:val="false"/>
          <w:sz w:val="26"/>
          <w:szCs w:val="26"/>
        </w:rPr>
        <w:t>целях защиты жизни, здоровья людей, нравственности, прав и законных интересов граждан и организаций, непричинения вреда (ущерба) животным, растениям, окружающей среде, обороне страны и безопасности государства, объектам культурного наследия, защиты иных охраняемых законом ценностей</w:t>
      </w:r>
      <w:r>
        <w:rPr>
          <w:rFonts w:cs="Times New Roman"/>
          <w:sz w:val="26"/>
          <w:szCs w:val="26"/>
        </w:rPr>
        <w:t xml:space="preserve">. </w:t>
      </w:r>
    </w:p>
    <w:p>
      <w:pPr>
        <w:pStyle w:val="Normal"/>
        <w:spacing w:lineRule="auto" w:line="242" w:before="0" w:after="0"/>
        <w:ind w:firstLine="540" w:left="0" w:right="0"/>
        <w:jc w:val="both"/>
        <w:rPr>
          <w:rFonts w:ascii="Times New Roman" w:hAnsi="Times New Roman" w:cs="Times New Roman"/>
          <w:sz w:val="26"/>
          <w:szCs w:val="26"/>
        </w:rPr>
      </w:pPr>
      <w:r>
        <w:rPr>
          <w:rFonts w:cs="Times New Roman"/>
          <w:sz w:val="26"/>
          <w:szCs w:val="26"/>
        </w:rPr>
        <w:t xml:space="preserve">Соблюдение обязательных требований влияет на снижение (устранение) </w:t>
      </w:r>
      <w:r>
        <w:rPr>
          <w:rFonts w:eastAsia="Times New Roman" w:cs="Times New Roman"/>
          <w:sz w:val="26"/>
          <w:szCs w:val="26"/>
        </w:rPr>
        <w:t>риска причинения вреда (ущерба) в рамках осуществления муниципального контроля в сфере благоустройства, в том числе приводит к уменьшению нарушений.</w:t>
      </w:r>
    </w:p>
    <w:tbl>
      <w:tblPr>
        <w:tblW w:w="10436" w:type="dxa"/>
        <w:jc w:val="left"/>
        <w:tblInd w:w="-511" w:type="dxa"/>
        <w:tblLayout w:type="fixed"/>
        <w:tblCellMar>
          <w:top w:w="102" w:type="dxa"/>
          <w:left w:w="62" w:type="dxa"/>
          <w:bottom w:w="102" w:type="dxa"/>
          <w:right w:w="62" w:type="dxa"/>
        </w:tblCellMar>
        <w:tblLook w:val="04a0" w:noHBand="0" w:noVBand="1" w:firstColumn="1" w:lastRow="0" w:lastColumn="0" w:firstRow="1"/>
      </w:tblPr>
      <w:tblGrid>
        <w:gridCol w:w="590"/>
        <w:gridCol w:w="3946"/>
        <w:gridCol w:w="918"/>
        <w:gridCol w:w="4982"/>
      </w:tblGrid>
      <w:tr>
        <w:trPr/>
        <w:tc>
          <w:tcPr>
            <w:tcW w:w="590" w:type="dxa"/>
            <w:tcBorders>
              <w:top w:val="single" w:sz="4" w:space="0" w:color="000000"/>
              <w:left w:val="single" w:sz="4" w:space="0" w:color="000000"/>
              <w:bottom w:val="single" w:sz="4" w:space="0" w:color="000000"/>
              <w:right w:val="single" w:sz="4" w:space="0" w:color="000000"/>
            </w:tcBorders>
          </w:tcPr>
          <w:p>
            <w:pPr>
              <w:pStyle w:val="ConsPlusNormal"/>
              <w:jc w:val="center"/>
              <w:rPr>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п/п</w:t>
            </w:r>
          </w:p>
        </w:tc>
        <w:tc>
          <w:tcPr>
            <w:tcW w:w="3946" w:type="dxa"/>
            <w:tcBorders>
              <w:top w:val="single" w:sz="4" w:space="0" w:color="000000"/>
              <w:left w:val="single" w:sz="4" w:space="0" w:color="000000"/>
              <w:bottom w:val="single" w:sz="4" w:space="0" w:color="000000"/>
              <w:right w:val="single" w:sz="4" w:space="0" w:color="000000"/>
            </w:tcBorders>
          </w:tcPr>
          <w:p>
            <w:pPr>
              <w:pStyle w:val="ConsPlusNormal"/>
              <w:jc w:val="center"/>
              <w:rPr>
                <w:sz w:val="18"/>
                <w:szCs w:val="18"/>
              </w:rPr>
            </w:pPr>
            <w:r>
              <w:rPr>
                <w:rFonts w:cs="Times New Roman" w:ascii="Times New Roman" w:hAnsi="Times New Roman"/>
                <w:sz w:val="18"/>
                <w:szCs w:val="18"/>
              </w:rPr>
              <w:t>Критерий</w:t>
            </w:r>
          </w:p>
        </w:tc>
        <w:tc>
          <w:tcPr>
            <w:tcW w:w="918" w:type="dxa"/>
            <w:tcBorders>
              <w:top w:val="single" w:sz="4" w:space="0" w:color="000000"/>
              <w:left w:val="single" w:sz="4" w:space="0" w:color="000000"/>
              <w:bottom w:val="single" w:sz="4" w:space="0" w:color="000000"/>
              <w:right w:val="single" w:sz="4" w:space="0" w:color="000000"/>
            </w:tcBorders>
          </w:tcPr>
          <w:p>
            <w:pPr>
              <w:pStyle w:val="ConsPlusNormal"/>
              <w:jc w:val="center"/>
              <w:rPr>
                <w:sz w:val="18"/>
                <w:szCs w:val="18"/>
              </w:rPr>
            </w:pPr>
            <w:r>
              <w:rPr>
                <w:rFonts w:cs="Times New Roman" w:ascii="Times New Roman" w:hAnsi="Times New Roman"/>
                <w:sz w:val="18"/>
                <w:szCs w:val="18"/>
              </w:rPr>
              <w:t>Выполнен/ не выполнен</w:t>
            </w:r>
          </w:p>
        </w:tc>
        <w:tc>
          <w:tcPr>
            <w:tcW w:w="4982" w:type="dxa"/>
            <w:tcBorders>
              <w:top w:val="single" w:sz="4" w:space="0" w:color="000000"/>
              <w:left w:val="single" w:sz="4" w:space="0" w:color="000000"/>
              <w:bottom w:val="single" w:sz="4" w:space="0" w:color="000000"/>
              <w:right w:val="single" w:sz="4" w:space="0" w:color="000000"/>
            </w:tcBorders>
          </w:tcPr>
          <w:p>
            <w:pPr>
              <w:pStyle w:val="ConsPlusNormal"/>
              <w:jc w:val="center"/>
              <w:rPr>
                <w:sz w:val="18"/>
                <w:szCs w:val="18"/>
              </w:rPr>
            </w:pPr>
            <w:r>
              <w:rPr>
                <w:rFonts w:cs="Times New Roman" w:ascii="Times New Roman" w:hAnsi="Times New Roman"/>
                <w:sz w:val="18"/>
                <w:szCs w:val="18"/>
              </w:rPr>
              <w:t>Обоснование</w:t>
            </w:r>
          </w:p>
        </w:tc>
      </w:tr>
      <w:tr>
        <w:trPr/>
        <w:tc>
          <w:tcPr>
            <w:tcW w:w="590" w:type="dxa"/>
            <w:tcBorders>
              <w:top w:val="single" w:sz="4" w:space="0" w:color="000000"/>
              <w:left w:val="single" w:sz="4" w:space="0" w:color="000000"/>
              <w:bottom w:val="single" w:sz="4" w:space="0" w:color="000000"/>
              <w:right w:val="single" w:sz="4" w:space="0" w:color="000000"/>
            </w:tcBorders>
          </w:tcPr>
          <w:p>
            <w:pPr>
              <w:pStyle w:val="ConsPlusNormal"/>
              <w:jc w:val="center"/>
              <w:rPr>
                <w:sz w:val="18"/>
                <w:szCs w:val="18"/>
              </w:rPr>
            </w:pPr>
            <w:r>
              <w:rPr>
                <w:rFonts w:cs="Times New Roman" w:ascii="Times New Roman" w:hAnsi="Times New Roman"/>
                <w:sz w:val="18"/>
                <w:szCs w:val="18"/>
              </w:rPr>
              <w:t>1</w:t>
            </w:r>
          </w:p>
        </w:tc>
        <w:tc>
          <w:tcPr>
            <w:tcW w:w="3946" w:type="dxa"/>
            <w:tcBorders>
              <w:top w:val="single" w:sz="4" w:space="0" w:color="000000"/>
              <w:left w:val="single" w:sz="4" w:space="0" w:color="000000"/>
              <w:bottom w:val="single" w:sz="4" w:space="0" w:color="000000"/>
              <w:right w:val="single" w:sz="4" w:space="0" w:color="000000"/>
            </w:tcBorders>
          </w:tcPr>
          <w:p>
            <w:pPr>
              <w:pStyle w:val="ConsPlusNormal"/>
              <w:jc w:val="center"/>
              <w:rPr>
                <w:sz w:val="18"/>
                <w:szCs w:val="18"/>
              </w:rPr>
            </w:pPr>
            <w:r>
              <w:rPr>
                <w:rFonts w:cs="Times New Roman" w:ascii="Times New Roman" w:hAnsi="Times New Roman"/>
                <w:sz w:val="18"/>
                <w:szCs w:val="18"/>
              </w:rPr>
              <w:t>2</w:t>
            </w:r>
          </w:p>
        </w:tc>
        <w:tc>
          <w:tcPr>
            <w:tcW w:w="918" w:type="dxa"/>
            <w:tcBorders>
              <w:top w:val="single" w:sz="4" w:space="0" w:color="000000"/>
              <w:left w:val="single" w:sz="4" w:space="0" w:color="000000"/>
              <w:bottom w:val="single" w:sz="4" w:space="0" w:color="000000"/>
              <w:right w:val="single" w:sz="4" w:space="0" w:color="000000"/>
            </w:tcBorders>
          </w:tcPr>
          <w:p>
            <w:pPr>
              <w:pStyle w:val="ConsPlusNormal"/>
              <w:jc w:val="center"/>
              <w:rPr>
                <w:sz w:val="18"/>
                <w:szCs w:val="18"/>
              </w:rPr>
            </w:pPr>
            <w:r>
              <w:rPr>
                <w:rFonts w:cs="Times New Roman" w:ascii="Times New Roman" w:hAnsi="Times New Roman"/>
                <w:sz w:val="18"/>
                <w:szCs w:val="18"/>
              </w:rPr>
              <w:t>3</w:t>
            </w:r>
          </w:p>
        </w:tc>
        <w:tc>
          <w:tcPr>
            <w:tcW w:w="4982" w:type="dxa"/>
            <w:tcBorders>
              <w:top w:val="single" w:sz="4" w:space="0" w:color="000000"/>
              <w:left w:val="single" w:sz="4" w:space="0" w:color="000000"/>
              <w:bottom w:val="single" w:sz="4" w:space="0" w:color="000000"/>
              <w:right w:val="single" w:sz="4" w:space="0" w:color="000000"/>
            </w:tcBorders>
          </w:tcPr>
          <w:p>
            <w:pPr>
              <w:pStyle w:val="ConsPlusNormal"/>
              <w:jc w:val="center"/>
              <w:rPr>
                <w:sz w:val="18"/>
                <w:szCs w:val="18"/>
              </w:rPr>
            </w:pPr>
            <w:r>
              <w:rPr>
                <w:rFonts w:cs="Times New Roman" w:ascii="Times New Roman" w:hAnsi="Times New Roman"/>
                <w:sz w:val="18"/>
                <w:szCs w:val="18"/>
              </w:rPr>
              <w:t>4</w:t>
            </w:r>
          </w:p>
        </w:tc>
      </w:tr>
      <w:tr>
        <w:trPr/>
        <w:tc>
          <w:tcPr>
            <w:tcW w:w="590" w:type="dxa"/>
            <w:tcBorders>
              <w:top w:val="single" w:sz="4" w:space="0" w:color="000000"/>
              <w:left w:val="single" w:sz="4" w:space="0" w:color="000000"/>
              <w:bottom w:val="single" w:sz="4" w:space="0" w:color="000000"/>
              <w:right w:val="single" w:sz="4" w:space="0" w:color="000000"/>
            </w:tcBorders>
          </w:tcPr>
          <w:p>
            <w:pPr>
              <w:pStyle w:val="ConsPlusNormal"/>
              <w:jc w:val="center"/>
              <w:rPr>
                <w:sz w:val="18"/>
                <w:szCs w:val="18"/>
              </w:rPr>
            </w:pPr>
            <w:r>
              <w:rPr>
                <w:rFonts w:cs="Times New Roman" w:ascii="Times New Roman" w:hAnsi="Times New Roman"/>
                <w:sz w:val="18"/>
                <w:szCs w:val="18"/>
              </w:rPr>
              <w:t>1</w:t>
            </w:r>
          </w:p>
        </w:tc>
        <w:tc>
          <w:tcPr>
            <w:tcW w:w="39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sz w:val="18"/>
                <w:szCs w:val="18"/>
              </w:rPr>
            </w:pPr>
            <w:r>
              <w:rPr>
                <w:rFonts w:cs="Times New Roman"/>
                <w:bCs/>
                <w:sz w:val="18"/>
                <w:szCs w:val="18"/>
              </w:rPr>
              <w:t xml:space="preserve">Полномочия по утверждению Правил благоустройства </w:t>
            </w:r>
          </w:p>
        </w:tc>
        <w:tc>
          <w:tcPr>
            <w:tcW w:w="918" w:type="dxa"/>
            <w:tcBorders>
              <w:top w:val="single" w:sz="4" w:space="0" w:color="000000"/>
              <w:left w:val="single" w:sz="4" w:space="0" w:color="000000"/>
              <w:bottom w:val="single" w:sz="4" w:space="0" w:color="000000"/>
              <w:right w:val="single" w:sz="4" w:space="0" w:color="000000"/>
            </w:tcBorders>
          </w:tcPr>
          <w:p>
            <w:pPr>
              <w:pStyle w:val="ConsPlusNormal"/>
              <w:rPr>
                <w:sz w:val="18"/>
                <w:szCs w:val="18"/>
              </w:rPr>
            </w:pPr>
            <w:r>
              <w:rPr>
                <w:rFonts w:cs="Times New Roman" w:ascii="Times New Roman" w:hAnsi="Times New Roman"/>
                <w:sz w:val="18"/>
                <w:szCs w:val="18"/>
              </w:rPr>
              <w:t>выполнен</w:t>
            </w:r>
          </w:p>
        </w:tc>
        <w:tc>
          <w:tcPr>
            <w:tcW w:w="4982" w:type="dxa"/>
            <w:tcBorders>
              <w:top w:val="single" w:sz="4" w:space="0" w:color="000000"/>
              <w:left w:val="single" w:sz="4" w:space="0" w:color="000000"/>
              <w:bottom w:val="single" w:sz="4" w:space="0" w:color="000000"/>
              <w:right w:val="single" w:sz="4" w:space="0" w:color="000000"/>
            </w:tcBorders>
          </w:tcPr>
          <w:p>
            <w:pPr>
              <w:pStyle w:val="Normal"/>
              <w:shd w:val="clear" w:color="auto" w:fill="FFFFFF"/>
              <w:spacing w:lineRule="auto" w:line="240" w:before="0" w:after="0"/>
              <w:jc w:val="both"/>
              <w:rPr>
                <w:sz w:val="18"/>
                <w:szCs w:val="18"/>
              </w:rPr>
            </w:pPr>
            <w:r>
              <w:rPr>
                <w:rFonts w:cs="Times New Roman"/>
                <w:sz w:val="18"/>
                <w:szCs w:val="18"/>
              </w:rPr>
              <w:t>П. 25 ст. 16 Закона  от 06.10.2003  № 131-ФЗ «Об общих принципах организации органов местного самоуправления в Российской Федерации» далее – ФЗ - № 33)</w:t>
            </w:r>
          </w:p>
        </w:tc>
      </w:tr>
      <w:tr>
        <w:trPr/>
        <w:tc>
          <w:tcPr>
            <w:tcW w:w="590" w:type="dxa"/>
            <w:tcBorders>
              <w:top w:val="single" w:sz="4" w:space="0" w:color="000000"/>
              <w:left w:val="single" w:sz="4" w:space="0" w:color="000000"/>
              <w:bottom w:val="single" w:sz="4" w:space="0" w:color="000000"/>
              <w:right w:val="single" w:sz="4" w:space="0" w:color="000000"/>
            </w:tcBorders>
          </w:tcPr>
          <w:p>
            <w:pPr>
              <w:pStyle w:val="ConsPlusNormal"/>
              <w:jc w:val="center"/>
              <w:rPr>
                <w:sz w:val="18"/>
                <w:szCs w:val="18"/>
              </w:rPr>
            </w:pPr>
            <w:r>
              <w:rPr>
                <w:rFonts w:cs="Times New Roman" w:ascii="Times New Roman" w:hAnsi="Times New Roman"/>
                <w:sz w:val="18"/>
                <w:szCs w:val="18"/>
              </w:rPr>
              <w:t>2</w:t>
            </w:r>
          </w:p>
        </w:tc>
        <w:tc>
          <w:tcPr>
            <w:tcW w:w="394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sz w:val="18"/>
                <w:szCs w:val="18"/>
              </w:rPr>
            </w:pPr>
            <w:r>
              <w:rPr>
                <w:rFonts w:cs="Times New Roman"/>
                <w:bCs/>
                <w:sz w:val="18"/>
                <w:szCs w:val="18"/>
              </w:rPr>
              <w:t>Уполномоченный орган  наделенный полномочиями на установление обязательных требований — С</w:t>
            </w:r>
            <w:r>
              <w:rPr>
                <w:rFonts w:cs="Times New Roman"/>
                <w:bCs/>
                <w:sz w:val="18"/>
                <w:szCs w:val="18"/>
              </w:rPr>
              <w:t>Д КГО</w:t>
            </w:r>
          </w:p>
        </w:tc>
        <w:tc>
          <w:tcPr>
            <w:tcW w:w="918" w:type="dxa"/>
            <w:tcBorders>
              <w:top w:val="single" w:sz="4" w:space="0" w:color="000000"/>
              <w:left w:val="single" w:sz="4" w:space="0" w:color="000000"/>
              <w:bottom w:val="single" w:sz="4" w:space="0" w:color="000000"/>
              <w:right w:val="single" w:sz="4" w:space="0" w:color="000000"/>
            </w:tcBorders>
          </w:tcPr>
          <w:p>
            <w:pPr>
              <w:pStyle w:val="ConsPlusNormal"/>
              <w:rPr>
                <w:sz w:val="18"/>
                <w:szCs w:val="18"/>
              </w:rPr>
            </w:pPr>
            <w:r>
              <w:rPr>
                <w:rFonts w:cs="Times New Roman" w:ascii="Times New Roman" w:hAnsi="Times New Roman"/>
                <w:sz w:val="18"/>
                <w:szCs w:val="18"/>
              </w:rPr>
              <w:t>выполнен</w:t>
            </w:r>
          </w:p>
        </w:tc>
        <w:tc>
          <w:tcPr>
            <w:tcW w:w="4982" w:type="dxa"/>
            <w:tcBorders>
              <w:top w:val="single" w:sz="4" w:space="0" w:color="000000"/>
              <w:left w:val="single" w:sz="4" w:space="0" w:color="000000"/>
              <w:bottom w:val="single" w:sz="4" w:space="0" w:color="000000"/>
              <w:right w:val="single" w:sz="4" w:space="0" w:color="000000"/>
            </w:tcBorders>
          </w:tcPr>
          <w:p>
            <w:pPr>
              <w:pStyle w:val="Normal"/>
              <w:shd w:val="clear" w:color="auto" w:fill="FFFFFF"/>
              <w:spacing w:lineRule="auto" w:line="240" w:before="0" w:after="0"/>
              <w:jc w:val="both"/>
              <w:rPr>
                <w:sz w:val="18"/>
                <w:szCs w:val="18"/>
              </w:rPr>
            </w:pPr>
            <w:r>
              <w:rPr>
                <w:rFonts w:cs="Times New Roman"/>
                <w:sz w:val="18"/>
                <w:szCs w:val="18"/>
              </w:rPr>
              <w:t xml:space="preserve">Пп. 31 п. 3 ст. 29 29 Устава городского округа </w:t>
            </w:r>
          </w:p>
        </w:tc>
      </w:tr>
      <w:tr>
        <w:trPr/>
        <w:tc>
          <w:tcPr>
            <w:tcW w:w="590" w:type="dxa"/>
            <w:tcBorders>
              <w:top w:val="single" w:sz="4" w:space="0" w:color="000000"/>
              <w:left w:val="single" w:sz="4" w:space="0" w:color="000000"/>
              <w:bottom w:val="single" w:sz="4" w:space="0" w:color="000000"/>
              <w:right w:val="single" w:sz="4" w:space="0" w:color="000000"/>
            </w:tcBorders>
          </w:tcPr>
          <w:p>
            <w:pPr>
              <w:pStyle w:val="ConsPlusNormal"/>
              <w:jc w:val="center"/>
              <w:rPr>
                <w:sz w:val="18"/>
                <w:szCs w:val="18"/>
              </w:rPr>
            </w:pPr>
            <w:r>
              <w:rPr>
                <w:rFonts w:cs="Times New Roman" w:ascii="Times New Roman" w:hAnsi="Times New Roman"/>
                <w:sz w:val="18"/>
                <w:szCs w:val="18"/>
              </w:rPr>
              <w:t>3</w:t>
            </w:r>
          </w:p>
        </w:tc>
        <w:tc>
          <w:tcPr>
            <w:tcW w:w="3946" w:type="dxa"/>
            <w:tcBorders>
              <w:top w:val="single" w:sz="4" w:space="0" w:color="000000"/>
              <w:left w:val="single" w:sz="4" w:space="0" w:color="000000"/>
              <w:bottom w:val="single" w:sz="4" w:space="0" w:color="000000"/>
              <w:right w:val="single" w:sz="4" w:space="0" w:color="000000"/>
            </w:tcBorders>
          </w:tcPr>
          <w:p>
            <w:pPr>
              <w:pStyle w:val="ConsPlusNormal"/>
              <w:jc w:val="both"/>
              <w:rPr>
                <w:sz w:val="18"/>
                <w:szCs w:val="18"/>
              </w:rPr>
            </w:pPr>
            <w:r>
              <w:rPr>
                <w:rFonts w:cs="Times New Roman" w:ascii="Times New Roman" w:hAnsi="Times New Roman"/>
                <w:sz w:val="18"/>
                <w:szCs w:val="18"/>
              </w:rPr>
              <w:t>Обязательные требования установлены НПА надлежащей формы</w:t>
            </w:r>
          </w:p>
        </w:tc>
        <w:tc>
          <w:tcPr>
            <w:tcW w:w="918" w:type="dxa"/>
            <w:tcBorders>
              <w:top w:val="single" w:sz="4" w:space="0" w:color="000000"/>
              <w:left w:val="single" w:sz="4" w:space="0" w:color="000000"/>
              <w:bottom w:val="single" w:sz="4" w:space="0" w:color="000000"/>
              <w:right w:val="single" w:sz="4" w:space="0" w:color="000000"/>
            </w:tcBorders>
          </w:tcPr>
          <w:p>
            <w:pPr>
              <w:pStyle w:val="ConsPlusNormal"/>
              <w:keepLines/>
              <w:suppressLineNumbers w:val="0"/>
              <w:spacing w:before="0" w:after="0"/>
              <w:jc w:val="left"/>
              <w:rPr>
                <w:sz w:val="18"/>
                <w:szCs w:val="18"/>
              </w:rPr>
            </w:pPr>
            <w:r>
              <w:rPr>
                <w:rFonts w:cs="Times New Roman" w:ascii="Times New Roman" w:hAnsi="Times New Roman"/>
                <w:sz w:val="18"/>
                <w:szCs w:val="18"/>
              </w:rPr>
              <w:t>выполнен</w:t>
            </w:r>
          </w:p>
        </w:tc>
        <w:tc>
          <w:tcPr>
            <w:tcW w:w="4982" w:type="dxa"/>
            <w:tcBorders>
              <w:top w:val="single" w:sz="4" w:space="0" w:color="000000"/>
              <w:left w:val="single" w:sz="4" w:space="0" w:color="000000"/>
              <w:bottom w:val="single" w:sz="4" w:space="0" w:color="000000"/>
              <w:right w:val="single" w:sz="4" w:space="0" w:color="000000"/>
            </w:tcBorders>
          </w:tcPr>
          <w:p>
            <w:pPr>
              <w:pStyle w:val="ConsPlusNormal"/>
              <w:jc w:val="both"/>
              <w:rPr>
                <w:sz w:val="18"/>
                <w:szCs w:val="18"/>
              </w:rPr>
            </w:pPr>
            <w:r>
              <w:rPr>
                <w:rFonts w:cs="Times New Roman" w:ascii="Times New Roman" w:hAnsi="Times New Roman"/>
                <w:sz w:val="18"/>
                <w:szCs w:val="18"/>
              </w:rPr>
              <w:t>П. 7 ст. 52 Ф</w:t>
            </w:r>
            <w:r>
              <w:rPr>
                <w:rFonts w:cs="Times New Roman" w:ascii="Times New Roman" w:hAnsi="Times New Roman"/>
                <w:sz w:val="18"/>
                <w:szCs w:val="18"/>
              </w:rPr>
              <w:t xml:space="preserve">З № </w:t>
            </w:r>
            <w:r>
              <w:rPr>
                <w:rFonts w:cs="Times New Roman" w:ascii="Times New Roman" w:hAnsi="Times New Roman"/>
                <w:sz w:val="18"/>
                <w:szCs w:val="18"/>
              </w:rPr>
              <w:t>33</w:t>
            </w:r>
          </w:p>
        </w:tc>
      </w:tr>
      <w:tr>
        <w:trPr/>
        <w:tc>
          <w:tcPr>
            <w:tcW w:w="590" w:type="dxa"/>
            <w:tcBorders>
              <w:top w:val="single" w:sz="4" w:space="0" w:color="000000"/>
              <w:left w:val="single" w:sz="4" w:space="0" w:color="000000"/>
              <w:bottom w:val="single" w:sz="4" w:space="0" w:color="000000"/>
              <w:right w:val="single" w:sz="4" w:space="0" w:color="000000"/>
            </w:tcBorders>
          </w:tcPr>
          <w:p>
            <w:pPr>
              <w:pStyle w:val="ConsPlusNormal"/>
              <w:jc w:val="center"/>
              <w:rPr>
                <w:sz w:val="18"/>
                <w:szCs w:val="18"/>
              </w:rPr>
            </w:pPr>
            <w:r>
              <w:rPr>
                <w:rFonts w:cs="Times New Roman" w:ascii="Times New Roman" w:hAnsi="Times New Roman"/>
                <w:sz w:val="18"/>
                <w:szCs w:val="18"/>
              </w:rPr>
              <w:t>4</w:t>
            </w:r>
          </w:p>
        </w:tc>
        <w:tc>
          <w:tcPr>
            <w:tcW w:w="3946" w:type="dxa"/>
            <w:tcBorders>
              <w:top w:val="single" w:sz="4" w:space="0" w:color="000000"/>
              <w:left w:val="single" w:sz="4" w:space="0" w:color="000000"/>
              <w:bottom w:val="single" w:sz="4" w:space="0" w:color="000000"/>
              <w:right w:val="single" w:sz="4" w:space="0" w:color="000000"/>
            </w:tcBorders>
          </w:tcPr>
          <w:p>
            <w:pPr>
              <w:pStyle w:val="ConsPlusNormal"/>
              <w:jc w:val="both"/>
              <w:rPr>
                <w:sz w:val="18"/>
                <w:szCs w:val="18"/>
              </w:rPr>
            </w:pPr>
            <w:r>
              <w:rPr>
                <w:rFonts w:cs="Times New Roman" w:ascii="Times New Roman" w:hAnsi="Times New Roman"/>
                <w:sz w:val="18"/>
                <w:szCs w:val="18"/>
              </w:rPr>
              <w:t>Соблюден порядок принятия и введения в действие НПА</w:t>
            </w:r>
          </w:p>
        </w:tc>
        <w:tc>
          <w:tcPr>
            <w:tcW w:w="918" w:type="dxa"/>
            <w:tcBorders>
              <w:top w:val="single" w:sz="4" w:space="0" w:color="000000"/>
              <w:left w:val="single" w:sz="4" w:space="0" w:color="000000"/>
              <w:bottom w:val="single" w:sz="4" w:space="0" w:color="000000"/>
              <w:right w:val="single" w:sz="4" w:space="0" w:color="000000"/>
            </w:tcBorders>
          </w:tcPr>
          <w:p>
            <w:pPr>
              <w:pStyle w:val="ConsPlusNormal"/>
              <w:rPr>
                <w:sz w:val="18"/>
                <w:szCs w:val="18"/>
              </w:rPr>
            </w:pPr>
            <w:r>
              <w:rPr>
                <w:rFonts w:cs="Times New Roman" w:ascii="Times New Roman" w:hAnsi="Times New Roman"/>
                <w:sz w:val="18"/>
                <w:szCs w:val="18"/>
              </w:rPr>
              <w:t>выполнен</w:t>
            </w:r>
          </w:p>
        </w:tc>
        <w:tc>
          <w:tcPr>
            <w:tcW w:w="4982" w:type="dxa"/>
            <w:tcBorders>
              <w:top w:val="single" w:sz="4" w:space="0" w:color="000000"/>
              <w:left w:val="single" w:sz="4" w:space="0" w:color="000000"/>
              <w:bottom w:val="single" w:sz="4" w:space="0" w:color="000000"/>
              <w:right w:val="single" w:sz="4" w:space="0" w:color="000000"/>
            </w:tcBorders>
          </w:tcPr>
          <w:p>
            <w:pPr>
              <w:pStyle w:val="ConsPlusNormal"/>
              <w:keepLines/>
              <w:suppressLineNumbers w:val="0"/>
              <w:spacing w:before="0" w:after="0"/>
              <w:jc w:val="both"/>
              <w:rPr>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Правила благоустройства утверждены решением С</w:t>
            </w:r>
            <w:r>
              <w:rPr>
                <w:rFonts w:cs="Times New Roman" w:ascii="Times New Roman" w:hAnsi="Times New Roman"/>
                <w:sz w:val="18"/>
                <w:szCs w:val="18"/>
              </w:rPr>
              <w:t>Д КГО</w:t>
            </w:r>
            <w:r>
              <w:rPr>
                <w:rFonts w:cs="Times New Roman" w:ascii="Times New Roman" w:hAnsi="Times New Roman"/>
                <w:sz w:val="18"/>
                <w:szCs w:val="18"/>
              </w:rPr>
              <w:t xml:space="preserve"> 03.07.2020 № 897-МО</w:t>
            </w:r>
            <w:r>
              <w:rPr>
                <w:rFonts w:eastAsia="Times New Roman" w:cs="Times New Roman" w:ascii="Times New Roman" w:hAnsi="Times New Roman"/>
                <w:sz w:val="18"/>
                <w:szCs w:val="18"/>
              </w:rPr>
              <w:t xml:space="preserve"> </w:t>
            </w:r>
            <w:r>
              <w:rPr>
                <w:rFonts w:cs="Times New Roman" w:ascii="Times New Roman" w:hAnsi="Times New Roman"/>
                <w:sz w:val="18"/>
                <w:szCs w:val="18"/>
              </w:rPr>
              <w:t>путем проведения общественных обсуждений</w:t>
            </w:r>
          </w:p>
        </w:tc>
      </w:tr>
      <w:tr>
        <w:trPr/>
        <w:tc>
          <w:tcPr>
            <w:tcW w:w="590" w:type="dxa"/>
            <w:tcBorders>
              <w:top w:val="single" w:sz="4" w:space="0" w:color="000000"/>
              <w:left w:val="single" w:sz="4" w:space="0" w:color="000000"/>
              <w:bottom w:val="single" w:sz="4" w:space="0" w:color="000000"/>
              <w:right w:val="single" w:sz="4" w:space="0" w:color="000000"/>
            </w:tcBorders>
          </w:tcPr>
          <w:p>
            <w:pPr>
              <w:pStyle w:val="ConsPlusNormal"/>
              <w:jc w:val="center"/>
              <w:rPr>
                <w:sz w:val="18"/>
                <w:szCs w:val="18"/>
              </w:rPr>
            </w:pPr>
            <w:r>
              <w:rPr>
                <w:rFonts w:cs="Times New Roman" w:ascii="Times New Roman" w:hAnsi="Times New Roman"/>
                <w:sz w:val="18"/>
                <w:szCs w:val="18"/>
              </w:rPr>
              <w:t>5</w:t>
            </w:r>
          </w:p>
        </w:tc>
        <w:tc>
          <w:tcPr>
            <w:tcW w:w="3946" w:type="dxa"/>
            <w:tcBorders>
              <w:top w:val="single" w:sz="4" w:space="0" w:color="000000"/>
              <w:left w:val="single" w:sz="4" w:space="0" w:color="000000"/>
              <w:bottom w:val="single" w:sz="4" w:space="0" w:color="000000"/>
              <w:right w:val="single" w:sz="4" w:space="0" w:color="000000"/>
            </w:tcBorders>
          </w:tcPr>
          <w:p>
            <w:pPr>
              <w:pStyle w:val="ConsPlusNormal"/>
              <w:jc w:val="both"/>
              <w:rPr>
                <w:sz w:val="18"/>
                <w:szCs w:val="18"/>
              </w:rPr>
            </w:pPr>
            <w:r>
              <w:rPr>
                <w:rFonts w:cs="Times New Roman" w:ascii="Times New Roman" w:hAnsi="Times New Roman"/>
                <w:sz w:val="18"/>
                <w:szCs w:val="18"/>
              </w:rPr>
              <w:t>Цель установления обязательных требований</w:t>
            </w:r>
          </w:p>
        </w:tc>
        <w:tc>
          <w:tcPr>
            <w:tcW w:w="918" w:type="dxa"/>
            <w:tcBorders>
              <w:top w:val="single" w:sz="4" w:space="0" w:color="000000"/>
              <w:left w:val="single" w:sz="4" w:space="0" w:color="000000"/>
              <w:bottom w:val="single" w:sz="4" w:space="0" w:color="000000"/>
              <w:right w:val="single" w:sz="4" w:space="0" w:color="000000"/>
            </w:tcBorders>
          </w:tcPr>
          <w:p>
            <w:pPr>
              <w:pStyle w:val="ConsPlusNormal"/>
              <w:rPr>
                <w:sz w:val="18"/>
                <w:szCs w:val="18"/>
              </w:rPr>
            </w:pPr>
            <w:r>
              <w:rPr>
                <w:rFonts w:cs="Times New Roman" w:ascii="Times New Roman" w:hAnsi="Times New Roman"/>
                <w:sz w:val="18"/>
                <w:szCs w:val="18"/>
              </w:rPr>
              <w:t>выполнен</w:t>
            </w:r>
          </w:p>
          <w:p>
            <w:pPr>
              <w:pStyle w:val="ConsPlusNormal"/>
              <w:rPr>
                <w:rFonts w:ascii="Times New Roman" w:hAnsi="Times New Roman" w:cs="Times New Roman"/>
                <w:sz w:val="18"/>
                <w:szCs w:val="18"/>
              </w:rPr>
            </w:pPr>
            <w:r>
              <w:rPr>
                <w:rFonts w:cs="Times New Roman" w:ascii="Times New Roman" w:hAnsi="Times New Roman"/>
                <w:sz w:val="18"/>
                <w:szCs w:val="18"/>
              </w:rPr>
            </w:r>
          </w:p>
          <w:p>
            <w:pPr>
              <w:pStyle w:val="ConsPlusNormal"/>
              <w:rPr>
                <w:rFonts w:ascii="Times New Roman" w:hAnsi="Times New Roman" w:cs="Times New Roman"/>
                <w:sz w:val="18"/>
                <w:szCs w:val="18"/>
              </w:rPr>
            </w:pPr>
            <w:r>
              <w:rPr>
                <w:rFonts w:cs="Times New Roman" w:ascii="Times New Roman" w:hAnsi="Times New Roman"/>
                <w:sz w:val="18"/>
                <w:szCs w:val="18"/>
              </w:rPr>
            </w:r>
          </w:p>
          <w:p>
            <w:pPr>
              <w:pStyle w:val="ConsPlusNormal"/>
              <w:rPr>
                <w:rFonts w:ascii="Times New Roman" w:hAnsi="Times New Roman" w:cs="Times New Roman"/>
                <w:sz w:val="18"/>
                <w:szCs w:val="18"/>
              </w:rPr>
            </w:pPr>
            <w:r>
              <w:rPr>
                <w:rFonts w:cs="Times New Roman" w:ascii="Times New Roman" w:hAnsi="Times New Roman"/>
                <w:sz w:val="18"/>
                <w:szCs w:val="18"/>
              </w:rPr>
            </w:r>
          </w:p>
          <w:p>
            <w:pPr>
              <w:pStyle w:val="ConsPlusNormal"/>
              <w:rPr>
                <w:rFonts w:ascii="Times New Roman" w:hAnsi="Times New Roman" w:cs="Times New Roman"/>
                <w:sz w:val="18"/>
                <w:szCs w:val="18"/>
              </w:rPr>
            </w:pPr>
            <w:r>
              <w:rPr>
                <w:rFonts w:cs="Times New Roman" w:ascii="Times New Roman" w:hAnsi="Times New Roman"/>
                <w:sz w:val="18"/>
                <w:szCs w:val="18"/>
              </w:rPr>
            </w:r>
          </w:p>
          <w:p>
            <w:pPr>
              <w:pStyle w:val="ConsPlusNormal"/>
              <w:rPr>
                <w:rFonts w:ascii="Times New Roman" w:hAnsi="Times New Roman" w:cs="Times New Roman"/>
                <w:sz w:val="18"/>
                <w:szCs w:val="18"/>
              </w:rPr>
            </w:pPr>
            <w:r>
              <w:rPr>
                <w:rFonts w:cs="Times New Roman" w:ascii="Times New Roman" w:hAnsi="Times New Roman"/>
                <w:sz w:val="18"/>
                <w:szCs w:val="18"/>
              </w:rPr>
            </w:r>
          </w:p>
          <w:p>
            <w:pPr>
              <w:pStyle w:val="ConsPlusNormal"/>
              <w:rPr>
                <w:rFonts w:ascii="Times New Roman" w:hAnsi="Times New Roman" w:cs="Times New Roman"/>
                <w:sz w:val="18"/>
                <w:szCs w:val="18"/>
              </w:rPr>
            </w:pPr>
            <w:r>
              <w:rPr>
                <w:rFonts w:cs="Times New Roman" w:ascii="Times New Roman" w:hAnsi="Times New Roman"/>
                <w:sz w:val="18"/>
                <w:szCs w:val="18"/>
              </w:rPr>
            </w:r>
          </w:p>
          <w:p>
            <w:pPr>
              <w:pStyle w:val="ConsPlusNormal"/>
              <w:rPr>
                <w:rFonts w:ascii="Times New Roman" w:hAnsi="Times New Roman" w:cs="Times New Roman"/>
                <w:sz w:val="18"/>
                <w:szCs w:val="18"/>
              </w:rPr>
            </w:pPr>
            <w:r>
              <w:rPr>
                <w:rFonts w:cs="Times New Roman" w:ascii="Times New Roman" w:hAnsi="Times New Roman"/>
                <w:sz w:val="18"/>
                <w:szCs w:val="18"/>
              </w:rPr>
            </w:r>
          </w:p>
        </w:tc>
        <w:tc>
          <w:tcPr>
            <w:tcW w:w="4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rPr>
                <w:rFonts w:cs="Times New Roman"/>
                <w:sz w:val="18"/>
                <w:szCs w:val="18"/>
              </w:rPr>
              <w:t xml:space="preserve">Обязательные требования, предусмотренные Правилами благоустройства, соответствуют признакам, предусмотренным </w:t>
            </w:r>
            <w:r>
              <w:rPr>
                <w:rFonts w:cs="Times New Roman"/>
                <w:sz w:val="18"/>
                <w:szCs w:val="18"/>
              </w:rPr>
              <w:t>ч. 1 ст. 5 ФЗ № 247</w:t>
            </w:r>
            <w:r>
              <w:rPr>
                <w:rFonts w:cs="Times New Roman"/>
                <w:sz w:val="18"/>
                <w:szCs w:val="18"/>
              </w:rPr>
              <w:t>,  цели соответствуют предмету Правил благоустройства. Соблюдение обязательных требований  влияет на снижение (устранение) риска причинения вреда (ущерба) в рамках осуществления муниципального контроля в сфере благоустройства, в том числе приводит к уменьшению (отсутствию) нарушений.</w:t>
            </w:r>
          </w:p>
        </w:tc>
      </w:tr>
      <w:tr>
        <w:trPr/>
        <w:tc>
          <w:tcPr>
            <w:tcW w:w="590" w:type="dxa"/>
            <w:tcBorders>
              <w:top w:val="single" w:sz="4" w:space="0" w:color="000000"/>
              <w:left w:val="single" w:sz="4" w:space="0" w:color="000000"/>
              <w:bottom w:val="single" w:sz="4" w:space="0" w:color="000000"/>
              <w:right w:val="single" w:sz="4" w:space="0" w:color="000000"/>
            </w:tcBorders>
          </w:tcPr>
          <w:p>
            <w:pPr>
              <w:pStyle w:val="ConsPlusNormal"/>
              <w:jc w:val="center"/>
              <w:rPr>
                <w:sz w:val="18"/>
                <w:szCs w:val="18"/>
              </w:rPr>
            </w:pPr>
            <w:r>
              <w:rPr>
                <w:rFonts w:cs="Times New Roman" w:ascii="Times New Roman" w:hAnsi="Times New Roman"/>
                <w:sz w:val="18"/>
                <w:szCs w:val="18"/>
              </w:rPr>
              <w:t>6</w:t>
            </w:r>
          </w:p>
        </w:tc>
        <w:tc>
          <w:tcPr>
            <w:tcW w:w="3946" w:type="dxa"/>
            <w:tcBorders>
              <w:top w:val="single" w:sz="4" w:space="0" w:color="000000"/>
              <w:left w:val="single" w:sz="4" w:space="0" w:color="000000"/>
              <w:bottom w:val="single" w:sz="4" w:space="0" w:color="000000"/>
              <w:right w:val="single" w:sz="4" w:space="0" w:color="000000"/>
            </w:tcBorders>
          </w:tcPr>
          <w:p>
            <w:pPr>
              <w:pStyle w:val="ConsPlusNormal"/>
              <w:jc w:val="both"/>
              <w:rPr>
                <w:sz w:val="18"/>
                <w:szCs w:val="18"/>
              </w:rPr>
            </w:pPr>
            <w:r>
              <w:rPr>
                <w:rFonts w:cs="Times New Roman" w:ascii="Times New Roman" w:hAnsi="Times New Roman"/>
                <w:sz w:val="18"/>
                <w:szCs w:val="18"/>
              </w:rPr>
              <w:t>Соблюдены все условия установления обязательных требований в отношении контролируемых лиц:</w:t>
            </w:r>
          </w:p>
          <w:p>
            <w:pPr>
              <w:pStyle w:val="ConsPlusNormal"/>
              <w:jc w:val="both"/>
              <w:rPr>
                <w:sz w:val="18"/>
                <w:szCs w:val="18"/>
              </w:rPr>
            </w:pPr>
            <w:r>
              <w:rPr>
                <w:rFonts w:cs="Times New Roman" w:ascii="Times New Roman" w:hAnsi="Times New Roman"/>
                <w:sz w:val="18"/>
                <w:szCs w:val="18"/>
              </w:rPr>
              <w:t>Объекты муниципального контроля в сфере благоустройства</w:t>
            </w:r>
          </w:p>
          <w:p>
            <w:pPr>
              <w:pStyle w:val="ConsPlusNormal"/>
              <w:jc w:val="both"/>
              <w:rPr>
                <w:sz w:val="18"/>
                <w:szCs w:val="18"/>
              </w:rPr>
            </w:pPr>
            <w:r>
              <w:rPr>
                <w:rFonts w:cs="Times New Roman" w:ascii="Times New Roman" w:hAnsi="Times New Roman"/>
                <w:sz w:val="18"/>
                <w:szCs w:val="18"/>
              </w:rPr>
              <w:t>а) осуществляемая деятельность, совершаемые действия, в отношении которых устанавливаются обязательные требования;</w:t>
            </w:r>
          </w:p>
          <w:p>
            <w:pPr>
              <w:pStyle w:val="ConsPlusNormal"/>
              <w:jc w:val="both"/>
              <w:rPr>
                <w:rFonts w:ascii="Times New Roman" w:hAnsi="Times New Roman" w:cs="Times New Roman"/>
                <w:sz w:val="18"/>
                <w:szCs w:val="18"/>
              </w:rPr>
            </w:pPr>
            <w:r>
              <w:rPr>
                <w:rFonts w:cs="Times New Roman" w:ascii="Times New Roman" w:hAnsi="Times New Roman"/>
                <w:sz w:val="18"/>
                <w:szCs w:val="18"/>
              </w:rPr>
            </w:r>
          </w:p>
          <w:p>
            <w:pPr>
              <w:pStyle w:val="ConsPlusNormal"/>
              <w:jc w:val="both"/>
              <w:rPr>
                <w:rFonts w:ascii="Times New Roman" w:hAnsi="Times New Roman" w:cs="Times New Roman"/>
                <w:sz w:val="18"/>
                <w:szCs w:val="18"/>
                <w:highlight w:val="none"/>
              </w:rPr>
            </w:pPr>
            <w:r>
              <w:rPr>
                <w:rFonts w:cs="Times New Roman" w:ascii="Times New Roman" w:hAnsi="Times New Roman"/>
                <w:sz w:val="18"/>
                <w:szCs w:val="18"/>
              </w:rPr>
            </w:r>
          </w:p>
          <w:p>
            <w:pPr>
              <w:pStyle w:val="ConsPlusNormal"/>
              <w:jc w:val="both"/>
              <w:rPr>
                <w:sz w:val="18"/>
                <w:szCs w:val="18"/>
              </w:rPr>
            </w:pPr>
            <w:r>
              <w:rPr>
                <w:rFonts w:cs="Times New Roman" w:ascii="Times New Roman" w:hAnsi="Times New Roman"/>
                <w:sz w:val="18"/>
                <w:szCs w:val="18"/>
              </w:rPr>
              <w:t>б) лица и используемые объекты, к которым предъявляются обязательные требования при осуществлении деятельности, совершении действий;</w:t>
            </w:r>
          </w:p>
          <w:p>
            <w:pPr>
              <w:pStyle w:val="ConsPlusNormal"/>
              <w:jc w:val="both"/>
              <w:rPr>
                <w:sz w:val="18"/>
                <w:szCs w:val="18"/>
              </w:rPr>
            </w:pPr>
            <w:r>
              <w:rPr>
                <w:rFonts w:cs="Times New Roman" w:ascii="Times New Roman" w:hAnsi="Times New Roman"/>
                <w:sz w:val="18"/>
                <w:szCs w:val="18"/>
              </w:rPr>
              <w:t>в) результаты осуществления деятельности, совершения действий, в отношении которых устанавливаются обязательные требования</w:t>
            </w:r>
          </w:p>
        </w:tc>
        <w:tc>
          <w:tcPr>
            <w:tcW w:w="918"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8"/>
                <w:szCs w:val="18"/>
              </w:rPr>
            </w:pPr>
            <w:r>
              <w:rPr>
                <w:rFonts w:cs="Times New Roman" w:ascii="Times New Roman" w:hAnsi="Times New Roman"/>
                <w:sz w:val="18"/>
                <w:szCs w:val="18"/>
              </w:rPr>
            </w:r>
          </w:p>
        </w:tc>
        <w:tc>
          <w:tcPr>
            <w:tcW w:w="4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sz w:val="18"/>
                <w:szCs w:val="18"/>
              </w:rPr>
            </w:pPr>
            <w:r>
              <w:rPr>
                <w:rFonts w:cs="Times New Roman"/>
                <w:sz w:val="18"/>
                <w:szCs w:val="18"/>
              </w:rPr>
              <w:t xml:space="preserve">  </w:t>
            </w:r>
            <w:r>
              <w:rPr>
                <w:rFonts w:cs="Times New Roman"/>
                <w:sz w:val="18"/>
                <w:szCs w:val="18"/>
              </w:rPr>
              <w:t>Правила обязательны для исполнения всеми юридическими, физическими лицами, индивидуальными предпринимателями, собственниками, пользователями, арендаторами земельных участков, зданий, строений, сооружений и иных объектов, расположенных на территории городского округа.</w:t>
            </w:r>
          </w:p>
          <w:p>
            <w:pPr>
              <w:pStyle w:val="Normal"/>
              <w:spacing w:lineRule="auto" w:line="240" w:before="0" w:after="0"/>
              <w:jc w:val="both"/>
              <w:rPr>
                <w:sz w:val="18"/>
                <w:szCs w:val="18"/>
              </w:rPr>
            </w:pPr>
            <w:r>
              <w:rPr>
                <w:rFonts w:cs="Times New Roman"/>
                <w:sz w:val="18"/>
                <w:szCs w:val="18"/>
              </w:rPr>
              <w:t>1) деятельность, действия (бездействие) контролируемых лиц, связанные с соблюдением обязательных требований в области благоустройства городского округа, в т.ч предъявляемые к контролируемым лицам осуществвляющим деятельность, действия (бездействие) .</w:t>
            </w:r>
          </w:p>
          <w:p>
            <w:pPr>
              <w:pStyle w:val="Normal"/>
              <w:spacing w:lineRule="auto" w:line="240" w:before="0" w:after="0"/>
              <w:jc w:val="both"/>
              <w:rPr>
                <w:sz w:val="18"/>
                <w:szCs w:val="18"/>
              </w:rPr>
            </w:pPr>
            <w:r>
              <w:rPr>
                <w:rFonts w:cs="Times New Roman"/>
                <w:sz w:val="18"/>
                <w:szCs w:val="18"/>
              </w:rPr>
              <w:t>2) результаты деятельности контролируемых лиц, в том числе работы и услуги, к которым предъявляются обязательные требования в области благоустройства городского округа.</w:t>
            </w:r>
          </w:p>
          <w:p>
            <w:pPr>
              <w:pStyle w:val="Normal"/>
              <w:spacing w:lineRule="auto" w:line="240" w:before="0" w:after="0"/>
              <w:jc w:val="both"/>
              <w:rPr>
                <w:sz w:val="18"/>
                <w:szCs w:val="18"/>
              </w:rPr>
            </w:pPr>
            <w:r>
              <w:rPr>
                <w:rFonts w:cs="Times New Roman"/>
                <w:sz w:val="18"/>
                <w:szCs w:val="18"/>
              </w:rPr>
              <w:t>3) здания, помещения, сооружения, в т.ч. малые архитектурные формы, объекты территории, предметы транспортные средства, другие объекты, которыми контролируемые лица владеют и (или) пользуются, объекты не находящиеся в их владении, пользовании, к которым предъявляются обязательные требования</w:t>
            </w:r>
          </w:p>
        </w:tc>
      </w:tr>
      <w:tr>
        <w:trPr/>
        <w:tc>
          <w:tcPr>
            <w:tcW w:w="590" w:type="dxa"/>
            <w:tcBorders>
              <w:top w:val="single" w:sz="4" w:space="0" w:color="000000"/>
              <w:left w:val="single" w:sz="4" w:space="0" w:color="000000"/>
              <w:bottom w:val="single" w:sz="4" w:space="0" w:color="000000"/>
              <w:right w:val="single" w:sz="4" w:space="0" w:color="000000"/>
            </w:tcBorders>
          </w:tcPr>
          <w:p>
            <w:pPr>
              <w:pStyle w:val="ConsPlusNormal"/>
              <w:jc w:val="center"/>
              <w:rPr>
                <w:sz w:val="18"/>
                <w:szCs w:val="18"/>
              </w:rPr>
            </w:pPr>
            <w:r>
              <w:rPr>
                <w:rFonts w:cs="Times New Roman" w:ascii="Times New Roman" w:hAnsi="Times New Roman"/>
                <w:sz w:val="18"/>
                <w:szCs w:val="18"/>
              </w:rPr>
              <w:t>7</w:t>
            </w:r>
          </w:p>
        </w:tc>
        <w:tc>
          <w:tcPr>
            <w:tcW w:w="3946" w:type="dxa"/>
            <w:tcBorders>
              <w:top w:val="single" w:sz="4" w:space="0" w:color="000000"/>
              <w:left w:val="single" w:sz="4" w:space="0" w:color="000000"/>
              <w:bottom w:val="single" w:sz="4" w:space="0" w:color="000000"/>
              <w:right w:val="single" w:sz="4" w:space="0" w:color="000000"/>
            </w:tcBorders>
          </w:tcPr>
          <w:p>
            <w:pPr>
              <w:pStyle w:val="ConsPlusNormal"/>
              <w:jc w:val="both"/>
              <w:rPr>
                <w:sz w:val="18"/>
                <w:szCs w:val="18"/>
              </w:rPr>
            </w:pPr>
            <w:r>
              <w:rPr>
                <w:rFonts w:cs="Times New Roman" w:ascii="Times New Roman" w:hAnsi="Times New Roman"/>
                <w:sz w:val="18"/>
                <w:szCs w:val="18"/>
              </w:rPr>
              <w:t>Оцениваемые обязательные требования включены в размещенный на официальном сайте органа государственной власти, осуществляющего государственный контроль (надзор), перечень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муниципального контроля.</w:t>
            </w:r>
          </w:p>
          <w:p>
            <w:pPr>
              <w:pStyle w:val="ConsPlusNormal"/>
              <w:jc w:val="both"/>
              <w:rPr>
                <w:rFonts w:ascii="Times New Roman" w:hAnsi="Times New Roman" w:cs="Times New Roman"/>
                <w:sz w:val="18"/>
                <w:szCs w:val="18"/>
              </w:rPr>
            </w:pPr>
            <w:r>
              <w:rPr>
                <w:rFonts w:cs="Times New Roman" w:ascii="Times New Roman" w:hAnsi="Times New Roman"/>
                <w:sz w:val="18"/>
                <w:szCs w:val="18"/>
              </w:rPr>
            </w:r>
          </w:p>
        </w:tc>
        <w:tc>
          <w:tcPr>
            <w:tcW w:w="918" w:type="dxa"/>
            <w:tcBorders>
              <w:top w:val="single" w:sz="4" w:space="0" w:color="000000"/>
              <w:left w:val="single" w:sz="4" w:space="0" w:color="000000"/>
              <w:bottom w:val="single" w:sz="4" w:space="0" w:color="000000"/>
              <w:right w:val="single" w:sz="4" w:space="0" w:color="000000"/>
            </w:tcBorders>
          </w:tcPr>
          <w:p>
            <w:pPr>
              <w:pStyle w:val="ConsPlusNormal"/>
              <w:rPr>
                <w:rFonts w:ascii="Times New Roman" w:hAnsi="Times New Roman" w:cs="Times New Roman"/>
                <w:sz w:val="18"/>
                <w:szCs w:val="18"/>
              </w:rPr>
            </w:pPr>
            <w:r>
              <w:rPr>
                <w:rFonts w:cs="Times New Roman" w:ascii="Times New Roman" w:hAnsi="Times New Roman"/>
                <w:sz w:val="18"/>
                <w:szCs w:val="18"/>
              </w:rPr>
            </w:r>
          </w:p>
        </w:tc>
        <w:tc>
          <w:tcPr>
            <w:tcW w:w="49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0" w:left="0"/>
              <w:jc w:val="both"/>
              <w:rPr/>
            </w:pPr>
            <w:r>
              <w:rPr>
                <w:rFonts w:eastAsia="Times New Roman" w:cs="Times New Roman"/>
                <w:bCs/>
                <w:sz w:val="18"/>
                <w:szCs w:val="18"/>
                <w:lang w:eastAsia="ru-RU"/>
              </w:rPr>
              <w:t xml:space="preserve">Согласно ч. 3, 16 ст. 46 № 248-ФЗ </w:t>
            </w:r>
            <w:r>
              <w:rPr>
                <w:rFonts w:eastAsia="Times New Roman" w:cs="Times New Roman"/>
                <w:b w:val="false"/>
                <w:i w:val="false"/>
                <w:strike w:val="false"/>
                <w:dstrike w:val="false"/>
                <w:sz w:val="18"/>
                <w:szCs w:val="18"/>
              </w:rPr>
              <w:t xml:space="preserve">размещает и поддерживает в актуальном состоянии на своем официальном сайте в сети "Интернет": </w:t>
            </w:r>
          </w:p>
          <w:p>
            <w:pPr>
              <w:pStyle w:val="Normal"/>
              <w:spacing w:lineRule="auto" w:line="240" w:before="0" w:after="0"/>
              <w:ind w:hanging="0" w:left="0"/>
              <w:jc w:val="both"/>
              <w:rPr/>
            </w:pPr>
            <w:r>
              <w:rPr>
                <w:rFonts w:eastAsia="Times New Roman" w:cs="Times New Roman"/>
                <w:b w:val="false"/>
                <w:i w:val="false"/>
                <w:strike w:val="false"/>
                <w:dstrike w:val="false"/>
                <w:sz w:val="18"/>
                <w:szCs w:val="18"/>
              </w:rPr>
              <w:t xml:space="preserve">3) </w:t>
            </w:r>
            <w:hyperlink r:id="rId45" w:tooltip="https://login.consultant.ru/link/?req=doc&amp;base=LAW&amp;n=213122">
              <w:r>
                <w:rPr>
                  <w:rStyle w:val="Style"/>
                  <w:rFonts w:eastAsia="Times New Roman" w:cs="Times New Roman"/>
                  <w:b w:val="false"/>
                  <w:i w:val="false"/>
                  <w:strike w:val="false"/>
                  <w:dstrike w:val="false"/>
                  <w:color w:themeColor="text1" w:val="000000"/>
                  <w:sz w:val="18"/>
                  <w:szCs w:val="18"/>
                </w:rPr>
                <w:t>перечень</w:t>
              </w:r>
            </w:hyperlink>
            <w:r>
              <w:rPr>
                <w:rFonts w:eastAsia="Times New Roman" w:cs="Times New Roman"/>
                <w:b w:val="false"/>
                <w:i w:val="false"/>
                <w:strike w:val="false"/>
                <w:dstrike w:val="false"/>
                <w:sz w:val="18"/>
                <w:szCs w:val="18"/>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pPr>
              <w:pStyle w:val="Normal"/>
              <w:spacing w:lineRule="auto" w:line="240" w:before="0" w:after="0"/>
              <w:jc w:val="both"/>
              <w:rPr>
                <w:sz w:val="18"/>
                <w:szCs w:val="18"/>
              </w:rPr>
            </w:pPr>
            <w:r>
              <w:rPr>
                <w:rFonts w:eastAsia="Times New Roman" w:cs="Times New Roman"/>
                <w:b w:val="false"/>
                <w:i w:val="false"/>
                <w:strike w:val="false"/>
                <w:dstrike w:val="false"/>
                <w:sz w:val="18"/>
                <w:szCs w:val="18"/>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tc>
      </w:tr>
    </w:tbl>
    <w:p>
      <w:pPr>
        <w:pStyle w:val="Normal"/>
        <w:spacing w:lineRule="auto" w:line="242" w:before="0" w:after="0"/>
        <w:ind w:firstLine="540" w:left="0" w:right="0"/>
        <w:jc w:val="center"/>
        <w:rPr>
          <w:rFonts w:ascii="Times New Roman" w:hAnsi="Times New Roman" w:cs="Times New Roman"/>
          <w:b/>
          <w:bCs/>
          <w:sz w:val="26"/>
          <w:szCs w:val="26"/>
          <w:highlight w:val="none"/>
        </w:rPr>
      </w:pPr>
      <w:r>
        <w:rPr>
          <w:rFonts w:cs="Times New Roman"/>
          <w:b/>
          <w:bCs/>
          <w:sz w:val="26"/>
          <w:szCs w:val="26"/>
        </w:rPr>
        <w:t>4. Выводы</w:t>
      </w:r>
    </w:p>
    <w:p>
      <w:pPr>
        <w:pStyle w:val="Normal"/>
        <w:spacing w:lineRule="auto" w:line="240" w:before="0" w:after="0"/>
        <w:ind w:firstLine="567" w:left="0" w:right="0"/>
        <w:jc w:val="both"/>
        <w:rPr>
          <w:rFonts w:ascii="Times New Roman" w:hAnsi="Times New Roman" w:cs="Times New Roman"/>
          <w:sz w:val="24"/>
          <w:szCs w:val="24"/>
          <w:highlight w:val="none"/>
        </w:rPr>
      </w:pPr>
      <w:r>
        <w:rPr>
          <w:rFonts w:cs="Times New Roman"/>
          <w:sz w:val="26"/>
          <w:szCs w:val="26"/>
        </w:rPr>
        <w:t xml:space="preserve">Муниципальный контроль в сфере благоустройства осуществляется </w:t>
      </w:r>
      <w:r>
        <w:rPr>
          <w:rFonts w:cs="Times New Roman"/>
          <w:sz w:val="26"/>
          <w:szCs w:val="26"/>
        </w:rPr>
        <w:t>А</w:t>
      </w:r>
      <w:r>
        <w:rPr>
          <w:rFonts w:cs="Times New Roman"/>
          <w:sz w:val="26"/>
          <w:szCs w:val="26"/>
        </w:rPr>
        <w:t xml:space="preserve">дминистрацией городского округа в лице органа </w:t>
      </w:r>
      <w:r>
        <w:rPr>
          <w:rFonts w:cs="Times New Roman"/>
          <w:sz w:val="26"/>
          <w:szCs w:val="26"/>
        </w:rPr>
        <w:t>А</w:t>
      </w:r>
      <w:r>
        <w:rPr>
          <w:rFonts w:cs="Times New Roman"/>
          <w:sz w:val="26"/>
          <w:szCs w:val="26"/>
        </w:rPr>
        <w:t>дминистрации, основной целью деятельности которого является обеспечение осуществления муниципального контроля в сфере благоустройства.</w:t>
      </w:r>
    </w:p>
    <w:p>
      <w:pPr>
        <w:pStyle w:val="Normal"/>
        <w:spacing w:lineRule="auto" w:line="240" w:before="0" w:after="0"/>
        <w:ind w:firstLine="567" w:left="0" w:right="0"/>
        <w:jc w:val="both"/>
        <w:rPr>
          <w:rFonts w:ascii="Times New Roman" w:hAnsi="Times New Roman" w:cs="Times New Roman"/>
          <w:sz w:val="24"/>
          <w:szCs w:val="24"/>
        </w:rPr>
      </w:pPr>
      <w:r>
        <w:rPr>
          <w:rFonts w:cs="Times New Roman"/>
          <w:sz w:val="26"/>
          <w:szCs w:val="26"/>
        </w:rPr>
        <w:t>К отношениям, связанным с осуществлением муниципального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 248-ФЗ, регламентирующих отношения в сфере благоустройства.</w:t>
      </w:r>
    </w:p>
    <w:p>
      <w:pPr>
        <w:pStyle w:val="Normal"/>
        <w:spacing w:lineRule="auto" w:line="242" w:before="0" w:after="0"/>
        <w:ind w:firstLine="540" w:left="0" w:right="0"/>
        <w:jc w:val="both"/>
        <w:rPr>
          <w:rFonts w:ascii="Times New Roman" w:hAnsi="Times New Roman" w:cs="Times New Roman"/>
          <w:sz w:val="26"/>
          <w:szCs w:val="26"/>
          <w:highlight w:val="none"/>
        </w:rPr>
      </w:pPr>
      <w:r>
        <w:rPr>
          <w:rFonts w:cs="Times New Roman"/>
          <w:sz w:val="26"/>
          <w:szCs w:val="26"/>
        </w:rPr>
        <w:t xml:space="preserve">Обязательные требования актуальны. Анализ правоприменительной практики показывает необходимый приоритет профилактических мероприятий над контрольными. </w:t>
      </w:r>
      <w:r>
        <w:rPr>
          <w:rFonts w:cs="Times New Roman"/>
          <w:sz w:val="26"/>
          <w:szCs w:val="26"/>
        </w:rPr>
        <w:t>Правила благоустройства не содержат предложений, предусматривающих изменение бюджетных расходов и доходов от реализации, предусмотренных муниципальными правовыми актами функций, полномочий, обязанностей и прав органов местного самоуправления.</w:t>
      </w:r>
    </w:p>
    <w:sectPr>
      <w:headerReference w:type="even" r:id="rId46"/>
      <w:headerReference w:type="default" r:id="rId47"/>
      <w:headerReference w:type="first" r:id="rId48"/>
      <w:type w:val="nextPage"/>
      <w:pgSz w:w="11906" w:h="16838"/>
      <w:pgMar w:left="1418" w:right="707" w:gutter="0" w:header="708" w:top="993" w:footer="0" w:bottom="709"/>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roman"/>
    <w:pitch w:val="default"/>
  </w:font>
  <w:font w:name="Segoe UI">
    <w:charset w:val="01"/>
    <w:family w:val="roman"/>
    <w:pitch w:val="default"/>
  </w:font>
  <w:font w:name="Times New Roman CYR">
    <w:charset w:val="01"/>
    <w:family w:val="roman"/>
    <w:pitch w:val="default"/>
  </w:font>
  <w:font w:name="PT Astra Serif">
    <w:charset w:val="01"/>
    <w:family w:val="roman"/>
    <w:pitch w:val="default"/>
  </w:font>
  <w:font w:name="TimesNewRomanCYR">
    <w:charset w:val="01"/>
    <w:family w:val="roman"/>
    <w:pitch w:val="default"/>
  </w:font>
  <w:font w:name="Times New Roman">
    <w:charset w:val="01"/>
    <w:family w:val="roman"/>
    <w:pitch w:val="variable"/>
  </w:font>
  <w:font w:name="Arial">
    <w:charset w:val="01"/>
    <w:family w:val="swiss"/>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isLgl/>
      <w:numFmt w:val="decimal"/>
      <w:lvlText w:val="%1."/>
      <w:lvlJc w:val="left"/>
      <w:pPr>
        <w:tabs>
          <w:tab w:val="num" w:pos="0"/>
        </w:tabs>
        <w:ind w:left="720" w:hanging="360"/>
      </w:pPr>
      <w:rPr/>
    </w:lvl>
    <w:lvl w:ilvl="1">
      <w:start w:val="1"/>
      <w:isLgl/>
      <w:numFmt w:val="lowerLetter"/>
      <w:lvlText w:val="%2."/>
      <w:lvlJc w:val="left"/>
      <w:pPr>
        <w:tabs>
          <w:tab w:val="num" w:pos="0"/>
        </w:tabs>
        <w:ind w:left="1440" w:hanging="360"/>
      </w:pPr>
      <w:rPr/>
    </w:lvl>
    <w:lvl w:ilvl="2">
      <w:start w:val="1"/>
      <w:isLgl/>
      <w:numFmt w:val="lowerRoman"/>
      <w:lvlText w:val="%3."/>
      <w:lvlJc w:val="right"/>
      <w:pPr>
        <w:tabs>
          <w:tab w:val="num" w:pos="0"/>
        </w:tabs>
        <w:ind w:left="2160" w:hanging="180"/>
      </w:pPr>
      <w:rPr/>
    </w:lvl>
    <w:lvl w:ilvl="3">
      <w:start w:val="1"/>
      <w:isLgl/>
      <w:numFmt w:val="decimal"/>
      <w:lvlText w:val="%4."/>
      <w:lvlJc w:val="left"/>
      <w:pPr>
        <w:tabs>
          <w:tab w:val="num" w:pos="0"/>
        </w:tabs>
        <w:ind w:left="2880" w:hanging="360"/>
      </w:pPr>
      <w:rPr/>
    </w:lvl>
    <w:lvl w:ilvl="4">
      <w:start w:val="1"/>
      <w:isLgl/>
      <w:numFmt w:val="lowerLetter"/>
      <w:lvlText w:val="%5."/>
      <w:lvlJc w:val="left"/>
      <w:pPr>
        <w:tabs>
          <w:tab w:val="num" w:pos="0"/>
        </w:tabs>
        <w:ind w:left="3600" w:hanging="360"/>
      </w:pPr>
      <w:rPr/>
    </w:lvl>
    <w:lvl w:ilvl="5">
      <w:start w:val="1"/>
      <w:isLgl/>
      <w:numFmt w:val="lowerRoman"/>
      <w:lvlText w:val="%6."/>
      <w:lvlJc w:val="right"/>
      <w:pPr>
        <w:tabs>
          <w:tab w:val="num" w:pos="0"/>
        </w:tabs>
        <w:ind w:left="4320" w:hanging="180"/>
      </w:pPr>
      <w:rPr/>
    </w:lvl>
    <w:lvl w:ilvl="6">
      <w:start w:val="1"/>
      <w:isLgl/>
      <w:numFmt w:val="decimal"/>
      <w:lvlText w:val="%7."/>
      <w:lvlJc w:val="left"/>
      <w:pPr>
        <w:tabs>
          <w:tab w:val="num" w:pos="0"/>
        </w:tabs>
        <w:ind w:left="5040" w:hanging="360"/>
      </w:pPr>
      <w:rPr/>
    </w:lvl>
    <w:lvl w:ilvl="7">
      <w:start w:val="1"/>
      <w:isLgl/>
      <w:numFmt w:val="lowerLetter"/>
      <w:lvlText w:val="%8."/>
      <w:lvlJc w:val="left"/>
      <w:pPr>
        <w:tabs>
          <w:tab w:val="num" w:pos="0"/>
        </w:tabs>
        <w:ind w:left="5760" w:hanging="360"/>
      </w:pPr>
      <w:rPr/>
    </w:lvl>
    <w:lvl w:ilvl="8">
      <w:start w:val="1"/>
      <w:isLgl/>
      <w:numFmt w:val="lowerRoman"/>
      <w:lvlText w:val="%9."/>
      <w:lvlJc w:val="right"/>
      <w:pPr>
        <w:tabs>
          <w:tab w:val="num" w:pos="0"/>
        </w:tabs>
        <w:ind w:left="6480" w:hanging="180"/>
      </w:pPr>
      <w:rPr/>
    </w:lvl>
  </w:abstractNum>
  <w:abstractNum w:abstractNumId="2">
    <w:lvl w:ilvl="0">
      <w:start w:val="1"/>
      <w:isLgl/>
      <w:numFmt w:val="decimal"/>
      <w:lvlText w:val="%1."/>
      <w:lvlJc w:val="left"/>
      <w:pPr>
        <w:tabs>
          <w:tab w:val="num" w:pos="0"/>
        </w:tabs>
        <w:ind w:left="1080" w:hanging="360"/>
      </w:pPr>
      <w:rPr>
        <w:rFonts w:cs="Times New Roman"/>
      </w:rPr>
    </w:lvl>
    <w:lvl w:ilvl="1">
      <w:start w:val="1"/>
      <w:isLgl/>
      <w:numFmt w:val="lowerLetter"/>
      <w:lvlText w:val="%2."/>
      <w:lvlJc w:val="left"/>
      <w:pPr>
        <w:tabs>
          <w:tab w:val="num" w:pos="0"/>
        </w:tabs>
        <w:ind w:left="1800" w:hanging="360"/>
      </w:pPr>
      <w:rPr>
        <w:rFonts w:cs="Times New Roman"/>
      </w:rPr>
    </w:lvl>
    <w:lvl w:ilvl="2">
      <w:start w:val="1"/>
      <w:isLgl/>
      <w:numFmt w:val="lowerRoman"/>
      <w:lvlText w:val="%3."/>
      <w:lvlJc w:val="right"/>
      <w:pPr>
        <w:tabs>
          <w:tab w:val="num" w:pos="0"/>
        </w:tabs>
        <w:ind w:left="2520" w:hanging="180"/>
      </w:pPr>
      <w:rPr>
        <w:rFonts w:cs="Times New Roman"/>
      </w:rPr>
    </w:lvl>
    <w:lvl w:ilvl="3">
      <w:start w:val="1"/>
      <w:isLgl/>
      <w:numFmt w:val="decimal"/>
      <w:lvlText w:val="%4."/>
      <w:lvlJc w:val="left"/>
      <w:pPr>
        <w:tabs>
          <w:tab w:val="num" w:pos="0"/>
        </w:tabs>
        <w:ind w:left="3240" w:hanging="360"/>
      </w:pPr>
      <w:rPr>
        <w:rFonts w:cs="Times New Roman"/>
      </w:rPr>
    </w:lvl>
    <w:lvl w:ilvl="4">
      <w:start w:val="1"/>
      <w:isLgl/>
      <w:numFmt w:val="lowerLetter"/>
      <w:lvlText w:val="%5."/>
      <w:lvlJc w:val="left"/>
      <w:pPr>
        <w:tabs>
          <w:tab w:val="num" w:pos="0"/>
        </w:tabs>
        <w:ind w:left="3960" w:hanging="360"/>
      </w:pPr>
      <w:rPr>
        <w:rFonts w:cs="Times New Roman"/>
      </w:rPr>
    </w:lvl>
    <w:lvl w:ilvl="5">
      <w:start w:val="1"/>
      <w:isLgl/>
      <w:numFmt w:val="lowerRoman"/>
      <w:lvlText w:val="%6."/>
      <w:lvlJc w:val="right"/>
      <w:pPr>
        <w:tabs>
          <w:tab w:val="num" w:pos="0"/>
        </w:tabs>
        <w:ind w:left="4680" w:hanging="180"/>
      </w:pPr>
      <w:rPr>
        <w:rFonts w:cs="Times New Roman"/>
      </w:rPr>
    </w:lvl>
    <w:lvl w:ilvl="6">
      <w:start w:val="1"/>
      <w:isLgl/>
      <w:numFmt w:val="decimal"/>
      <w:lvlText w:val="%7."/>
      <w:lvlJc w:val="left"/>
      <w:pPr>
        <w:tabs>
          <w:tab w:val="num" w:pos="0"/>
        </w:tabs>
        <w:ind w:left="5400" w:hanging="360"/>
      </w:pPr>
      <w:rPr>
        <w:rFonts w:cs="Times New Roman"/>
      </w:rPr>
    </w:lvl>
    <w:lvl w:ilvl="7">
      <w:start w:val="1"/>
      <w:isLgl/>
      <w:numFmt w:val="lowerLetter"/>
      <w:lvlText w:val="%8."/>
      <w:lvlJc w:val="left"/>
      <w:pPr>
        <w:tabs>
          <w:tab w:val="num" w:pos="0"/>
        </w:tabs>
        <w:ind w:left="6120" w:hanging="360"/>
      </w:pPr>
      <w:rPr>
        <w:rFonts w:cs="Times New Roman"/>
      </w:rPr>
    </w:lvl>
    <w:lvl w:ilvl="8">
      <w:start w:val="1"/>
      <w:isLgl/>
      <w:numFmt w:val="lowerRoman"/>
      <w:lvlText w:val="%9."/>
      <w:lvlJc w:val="right"/>
      <w:pPr>
        <w:tabs>
          <w:tab w:val="num" w:pos="0"/>
        </w:tabs>
        <w:ind w:left="6840" w:hanging="180"/>
      </w:pPr>
      <w:rPr>
        <w:rFonts w:cs="Times New Roman"/>
      </w:rPr>
    </w:lvl>
  </w:abstractNum>
  <w:abstractNum w:abstractNumId="3">
    <w:lvl w:ilvl="0">
      <w:start w:val="1"/>
      <w:isLgl/>
      <w:numFmt w:val="decimal"/>
      <w:lvlText w:val="%1."/>
      <w:lvlJc w:val="left"/>
      <w:pPr>
        <w:tabs>
          <w:tab w:val="num" w:pos="0"/>
        </w:tabs>
        <w:ind w:left="709" w:hanging="360"/>
      </w:pPr>
      <w:rPr/>
    </w:lvl>
    <w:lvl w:ilvl="1">
      <w:start w:val="1"/>
      <w:isLgl/>
      <w:numFmt w:val="lowerLetter"/>
      <w:lvlText w:val="%2."/>
      <w:lvlJc w:val="left"/>
      <w:pPr>
        <w:tabs>
          <w:tab w:val="num" w:pos="0"/>
        </w:tabs>
        <w:ind w:left="1429" w:hanging="360"/>
      </w:pPr>
      <w:rPr/>
    </w:lvl>
    <w:lvl w:ilvl="2">
      <w:start w:val="1"/>
      <w:isLgl/>
      <w:numFmt w:val="lowerRoman"/>
      <w:lvlText w:val="%3."/>
      <w:lvlJc w:val="right"/>
      <w:pPr>
        <w:tabs>
          <w:tab w:val="num" w:pos="0"/>
        </w:tabs>
        <w:ind w:left="2149" w:hanging="180"/>
      </w:pPr>
      <w:rPr/>
    </w:lvl>
    <w:lvl w:ilvl="3">
      <w:start w:val="1"/>
      <w:isLgl/>
      <w:numFmt w:val="decimal"/>
      <w:lvlText w:val="%4."/>
      <w:lvlJc w:val="left"/>
      <w:pPr>
        <w:tabs>
          <w:tab w:val="num" w:pos="0"/>
        </w:tabs>
        <w:ind w:left="2869" w:hanging="360"/>
      </w:pPr>
      <w:rPr/>
    </w:lvl>
    <w:lvl w:ilvl="4">
      <w:start w:val="1"/>
      <w:isLgl/>
      <w:numFmt w:val="lowerLetter"/>
      <w:lvlText w:val="%5."/>
      <w:lvlJc w:val="left"/>
      <w:pPr>
        <w:tabs>
          <w:tab w:val="num" w:pos="0"/>
        </w:tabs>
        <w:ind w:left="3589" w:hanging="360"/>
      </w:pPr>
      <w:rPr/>
    </w:lvl>
    <w:lvl w:ilvl="5">
      <w:start w:val="1"/>
      <w:isLgl/>
      <w:numFmt w:val="lowerRoman"/>
      <w:lvlText w:val="%6."/>
      <w:lvlJc w:val="right"/>
      <w:pPr>
        <w:tabs>
          <w:tab w:val="num" w:pos="0"/>
        </w:tabs>
        <w:ind w:left="4309" w:hanging="180"/>
      </w:pPr>
      <w:rPr/>
    </w:lvl>
    <w:lvl w:ilvl="6">
      <w:start w:val="1"/>
      <w:isLgl/>
      <w:numFmt w:val="decimal"/>
      <w:lvlText w:val="%7."/>
      <w:lvlJc w:val="left"/>
      <w:pPr>
        <w:tabs>
          <w:tab w:val="num" w:pos="0"/>
        </w:tabs>
        <w:ind w:left="5029" w:hanging="360"/>
      </w:pPr>
      <w:rPr/>
    </w:lvl>
    <w:lvl w:ilvl="7">
      <w:start w:val="1"/>
      <w:isLgl/>
      <w:numFmt w:val="lowerLetter"/>
      <w:lvlText w:val="%8."/>
      <w:lvlJc w:val="left"/>
      <w:pPr>
        <w:tabs>
          <w:tab w:val="num" w:pos="0"/>
        </w:tabs>
        <w:ind w:left="5749" w:hanging="360"/>
      </w:pPr>
      <w:rPr/>
    </w:lvl>
    <w:lvl w:ilvl="8">
      <w:start w:val="1"/>
      <w:isLgl/>
      <w:numFmt w:val="lowerRoman"/>
      <w:lvlText w:val="%9."/>
      <w:lvlJc w:val="right"/>
      <w:pPr>
        <w:tabs>
          <w:tab w:val="num" w:pos="0"/>
        </w:tabs>
        <w:ind w:left="6469" w:hanging="180"/>
      </w:pPr>
      <w:rPr/>
    </w:lvl>
  </w:abstractNum>
  <w:abstractNum w:abstractNumId="4">
    <w:lvl w:ilvl="0">
      <w:start w:val="1"/>
      <w:isLgl/>
      <w:numFmt w:val="bullet"/>
      <w:lvlText w:val="–"/>
      <w:lvlJc w:val="left"/>
      <w:pPr>
        <w:tabs>
          <w:tab w:val="num" w:pos="0"/>
        </w:tabs>
        <w:ind w:left="1249" w:hanging="360"/>
      </w:pPr>
      <w:rPr>
        <w:rFonts w:ascii="Arial" w:hAnsi="Arial" w:cs="Arial" w:hint="default"/>
      </w:rPr>
    </w:lvl>
    <w:lvl w:ilvl="1">
      <w:start w:val="1"/>
      <w:isLgl/>
      <w:numFmt w:val="bullet"/>
      <w:lvlText w:val="o"/>
      <w:lvlJc w:val="left"/>
      <w:pPr>
        <w:tabs>
          <w:tab w:val="num" w:pos="0"/>
        </w:tabs>
        <w:ind w:left="1969" w:hanging="360"/>
      </w:pPr>
      <w:rPr>
        <w:rFonts w:ascii="Courier New" w:hAnsi="Courier New" w:cs="Courier New" w:hint="default"/>
      </w:rPr>
    </w:lvl>
    <w:lvl w:ilvl="2">
      <w:start w:val="1"/>
      <w:isLgl/>
      <w:numFmt w:val="bullet"/>
      <w:lvlText w:val="§"/>
      <w:lvlJc w:val="left"/>
      <w:pPr>
        <w:tabs>
          <w:tab w:val="num" w:pos="0"/>
        </w:tabs>
        <w:ind w:left="2689" w:hanging="360"/>
      </w:pPr>
      <w:rPr>
        <w:rFonts w:ascii="Wingdings" w:hAnsi="Wingdings" w:cs="Wingdings" w:hint="default"/>
      </w:rPr>
    </w:lvl>
    <w:lvl w:ilvl="3">
      <w:start w:val="1"/>
      <w:isLgl/>
      <w:numFmt w:val="bullet"/>
      <w:lvlText w:val="·"/>
      <w:lvlJc w:val="left"/>
      <w:pPr>
        <w:tabs>
          <w:tab w:val="num" w:pos="0"/>
        </w:tabs>
        <w:ind w:left="3409" w:hanging="360"/>
      </w:pPr>
      <w:rPr>
        <w:rFonts w:ascii="Symbol" w:hAnsi="Symbol" w:cs="Symbol" w:hint="default"/>
      </w:rPr>
    </w:lvl>
    <w:lvl w:ilvl="4">
      <w:start w:val="1"/>
      <w:isLgl/>
      <w:numFmt w:val="bullet"/>
      <w:lvlText w:val="o"/>
      <w:lvlJc w:val="left"/>
      <w:pPr>
        <w:tabs>
          <w:tab w:val="num" w:pos="0"/>
        </w:tabs>
        <w:ind w:left="4129" w:hanging="360"/>
      </w:pPr>
      <w:rPr>
        <w:rFonts w:ascii="Courier New" w:hAnsi="Courier New" w:cs="Courier New" w:hint="default"/>
      </w:rPr>
    </w:lvl>
    <w:lvl w:ilvl="5">
      <w:start w:val="1"/>
      <w:isLgl/>
      <w:numFmt w:val="bullet"/>
      <w:lvlText w:val="§"/>
      <w:lvlJc w:val="left"/>
      <w:pPr>
        <w:tabs>
          <w:tab w:val="num" w:pos="0"/>
        </w:tabs>
        <w:ind w:left="4849" w:hanging="360"/>
      </w:pPr>
      <w:rPr>
        <w:rFonts w:ascii="Wingdings" w:hAnsi="Wingdings" w:cs="Wingdings" w:hint="default"/>
      </w:rPr>
    </w:lvl>
    <w:lvl w:ilvl="6">
      <w:start w:val="1"/>
      <w:isLgl/>
      <w:numFmt w:val="bullet"/>
      <w:lvlText w:val="·"/>
      <w:lvlJc w:val="left"/>
      <w:pPr>
        <w:tabs>
          <w:tab w:val="num" w:pos="0"/>
        </w:tabs>
        <w:ind w:left="5569" w:hanging="360"/>
      </w:pPr>
      <w:rPr>
        <w:rFonts w:ascii="Symbol" w:hAnsi="Symbol" w:cs="Symbol" w:hint="default"/>
      </w:rPr>
    </w:lvl>
    <w:lvl w:ilvl="7">
      <w:start w:val="1"/>
      <w:isLgl/>
      <w:numFmt w:val="bullet"/>
      <w:lvlText w:val="o"/>
      <w:lvlJc w:val="left"/>
      <w:pPr>
        <w:tabs>
          <w:tab w:val="num" w:pos="0"/>
        </w:tabs>
        <w:ind w:left="6289" w:hanging="360"/>
      </w:pPr>
      <w:rPr>
        <w:rFonts w:ascii="Courier New" w:hAnsi="Courier New" w:cs="Courier New" w:hint="default"/>
      </w:rPr>
    </w:lvl>
    <w:lvl w:ilvl="8">
      <w:start w:val="1"/>
      <w:isLgl/>
      <w:numFmt w:val="bullet"/>
      <w:lvlText w:val="§"/>
      <w:lvlJc w:val="left"/>
      <w:pPr>
        <w:tabs>
          <w:tab w:val="num" w:pos="0"/>
        </w:tabs>
        <w:ind w:left="7009"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4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40" w:beforeAutospacing="0" w:before="0" w:afterAutospacing="0" w:after="0"/>
      <w:jc w:val="left"/>
    </w:pPr>
    <w:rPr>
      <w:rFonts w:ascii="Times New Roman" w:hAnsi="Times New Roman" w:eastAsia="Times New Roman" w:cs="Times New Roman"/>
      <w:color w:val="auto"/>
      <w:kern w:val="0"/>
      <w:sz w:val="20"/>
      <w:szCs w:val="20"/>
      <w:lang w:eastAsia="ru-RU" w:val="ru-RU" w:bidi="ar-SA"/>
    </w:rPr>
  </w:style>
  <w:style w:type="paragraph" w:styleId="Heading1">
    <w:name w:val="heading 1"/>
    <w:basedOn w:val="Normal"/>
    <w:next w:val="Normal"/>
    <w:link w:val="1"/>
    <w:uiPriority w:val="99"/>
    <w:qFormat/>
    <w:pPr>
      <w:widowControl w:val="false"/>
      <w:spacing w:before="108" w:after="108"/>
      <w:jc w:val="center"/>
      <w:outlineLvl w:val="0"/>
    </w:pPr>
    <w:rPr>
      <w:rFonts w:ascii="Arial" w:hAnsi="Arial" w:eastAsia="Calibri" w:cs="Arial"/>
      <w:b/>
      <w:bCs/>
      <w:color w:val="26282F"/>
      <w:sz w:val="24"/>
      <w:szCs w:val="24"/>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link w:val="Quote"/>
    <w:uiPriority w:val="29"/>
    <w:qFormat/>
    <w:rPr>
      <w:i/>
    </w:rPr>
  </w:style>
  <w:style w:type="character" w:styleId="IntenseQuoteChar">
    <w:name w:val="Intense Quote Char"/>
    <w:link w:val="IntenseQuote"/>
    <w:uiPriority w:val="30"/>
    <w:qFormat/>
    <w:rPr>
      <w:i/>
    </w:rPr>
  </w:style>
  <w:style w:type="character" w:styleId="CaptionChar">
    <w:name w:val="Caption Char"/>
    <w:basedOn w:val="DefaultParagraphFont"/>
    <w:uiPriority w:val="35"/>
    <w:qFormat/>
    <w:rPr>
      <w:b/>
      <w:bCs/>
      <w:color w:themeColor="accent1" w:val="4F81BD"/>
      <w:sz w:val="18"/>
      <w:szCs w:val="18"/>
    </w:rPr>
  </w:style>
  <w:style w:type="character" w:styleId="FootnoteTextChar">
    <w:name w:val="Footnote Text Char"/>
    <w:uiPriority w:val="99"/>
    <w:qFormat/>
    <w:rPr>
      <w:sz w:val="18"/>
    </w:rPr>
  </w:style>
  <w:style w:type="character" w:styleId="EndnoteTextChar">
    <w:name w:val="Endnote Text Char"/>
    <w:uiPriority w:val="99"/>
    <w:qFormat/>
    <w:rPr>
      <w:sz w:val="20"/>
    </w:rPr>
  </w:style>
  <w:style w:type="character" w:styleId="Style5">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6" w:customStyle="1">
    <w:name w:val="Название Знак"/>
    <w:basedOn w:val="DefaultParagraphFont"/>
    <w:uiPriority w:val="10"/>
    <w:qFormat/>
    <w:rPr>
      <w:sz w:val="48"/>
      <w:szCs w:val="48"/>
    </w:rPr>
  </w:style>
  <w:style w:type="character" w:styleId="Style7"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8"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Hyperlink">
    <w:name w:val="Hyperlink"/>
    <w:uiPriority w:val="99"/>
    <w:unhideWhenUsed/>
    <w:rPr>
      <w:color w:themeColor="hyperlink" w:val="0563C1"/>
      <w:u w:val="single"/>
    </w:rPr>
  </w:style>
  <w:style w:type="character" w:styleId="Style9" w:customStyle="1">
    <w:name w:val="Текст сноски Знак"/>
    <w:uiPriority w:val="99"/>
    <w:qFormat/>
    <w:rPr>
      <w:sz w:val="18"/>
    </w:rPr>
  </w:style>
  <w:style w:type="character" w:styleId="Style10">
    <w:name w:val="Символ сноски"/>
    <w:basedOn w:val="DefaultParagraphFont"/>
    <w:uiPriority w:val="99"/>
    <w:unhideWhenUsed/>
    <w:qFormat/>
    <w:rPr>
      <w:vertAlign w:val="superscript"/>
    </w:rPr>
  </w:style>
  <w:style w:type="character" w:styleId="FootnoteReference">
    <w:name w:val="footnote reference"/>
    <w:rPr>
      <w:vertAlign w:val="superscript"/>
    </w:rPr>
  </w:style>
  <w:style w:type="character" w:styleId="Style11" w:customStyle="1">
    <w:name w:val="Текст выноски Знак"/>
    <w:basedOn w:val="DefaultParagraphFont"/>
    <w:link w:val="BalloonText"/>
    <w:uiPriority w:val="99"/>
    <w:semiHidden/>
    <w:qFormat/>
    <w:rPr>
      <w:rFonts w:ascii="Segoe UI" w:hAnsi="Segoe UI" w:eastAsia="Times New Roman" w:cs="Segoe UI"/>
      <w:sz w:val="18"/>
      <w:szCs w:val="18"/>
      <w:lang w:eastAsia="ru-RU"/>
    </w:rPr>
  </w:style>
  <w:style w:type="character" w:styleId="Style12" w:customStyle="1">
    <w:name w:val="Цветовое выделение"/>
    <w:uiPriority w:val="99"/>
    <w:qFormat/>
    <w:rPr>
      <w:b/>
      <w:color w:val="26282F"/>
    </w:rPr>
  </w:style>
  <w:style w:type="character" w:styleId="Style13" w:customStyle="1">
    <w:name w:val="Гипертекстовая ссылка"/>
    <w:basedOn w:val="Style12"/>
    <w:uiPriority w:val="99"/>
    <w:qFormat/>
    <w:rPr>
      <w:rFonts w:cs="Times New Roman"/>
      <w:b w:val="false"/>
      <w:color w:val="106BBE"/>
    </w:rPr>
  </w:style>
  <w:style w:type="character" w:styleId="1" w:customStyle="1">
    <w:name w:val="Заголовок 1 Знак"/>
    <w:basedOn w:val="DefaultParagraphFont"/>
    <w:uiPriority w:val="9"/>
    <w:qFormat/>
    <w:rPr>
      <w:rFonts w:ascii="Arial" w:hAnsi="Arial" w:eastAsia="Calibri" w:cs="Arial"/>
      <w:b/>
      <w:bCs/>
      <w:color w:val="26282F"/>
      <w:sz w:val="24"/>
      <w:szCs w:val="24"/>
      <w:lang w:eastAsia="ru-RU"/>
    </w:rPr>
  </w:style>
  <w:style w:type="character" w:styleId="Style14" w:customStyle="1">
    <w:name w:val="Верхний колонтитул Знак"/>
    <w:basedOn w:val="DefaultParagraphFont"/>
    <w:uiPriority w:val="99"/>
    <w:qFormat/>
    <w:rPr>
      <w:rFonts w:ascii="Times New Roman" w:hAnsi="Times New Roman" w:eastAsia="Times New Roman" w:cs="Times New Roman"/>
      <w:sz w:val="20"/>
      <w:szCs w:val="20"/>
      <w:lang w:eastAsia="ru-RU"/>
    </w:rPr>
  </w:style>
  <w:style w:type="character" w:styleId="Style15" w:customStyle="1">
    <w:name w:val="Нижний колонтитул Знак"/>
    <w:basedOn w:val="DefaultParagraphFont"/>
    <w:uiPriority w:val="99"/>
    <w:qFormat/>
    <w:rPr>
      <w:rFonts w:ascii="Times New Roman" w:hAnsi="Times New Roman" w:eastAsia="Times New Roman" w:cs="Times New Roman"/>
      <w:sz w:val="20"/>
      <w:szCs w:val="20"/>
      <w:lang w:eastAsia="ru-RU"/>
    </w:rPr>
  </w:style>
  <w:style w:type="character" w:styleId="Style16" w:customStyle="1">
    <w:name w:val="Цветовое выделение для Текст"/>
    <w:qFormat/>
    <w:rPr>
      <w:rFonts w:ascii="Times New Roman CYR" w:hAnsi="Times New Roman CYR" w:eastAsia="Times New Roman CYR" w:cs="Times New Roman CYR"/>
      <w:sz w:val="24"/>
      <w:szCs w:val="24"/>
      <w:lang w:val="ru-RU" w:bidi="ru-RU"/>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link w:val="CaptionChar"/>
    <w:uiPriority w:val="35"/>
    <w:semiHidden/>
    <w:unhideWhenUsed/>
    <w:qFormat/>
    <w:pPr>
      <w:spacing w:lineRule="auto" w:line="276"/>
    </w:pPr>
    <w:rPr>
      <w:b/>
      <w:bCs/>
      <w:color w:themeColor="accent1" w:val="4F81BD"/>
      <w:sz w:val="18"/>
      <w:szCs w:val="18"/>
    </w:rPr>
  </w:style>
  <w:style w:type="paragraph" w:styleId="Style18">
    <w:name w:val="Указатель"/>
    <w:basedOn w:val="Normal"/>
    <w:qFormat/>
    <w:pPr>
      <w:suppressLineNumbers/>
    </w:pPr>
    <w:rPr>
      <w:rFonts w:ascii="PT Astra Serif" w:hAnsi="PT Astra Serif" w:cs="FreeSans"/>
    </w:rPr>
  </w:style>
  <w:style w:type="paragraph" w:styleId="EndnoteText">
    <w:name w:val="endnote text"/>
    <w:basedOn w:val="Normal"/>
    <w:link w:val="EndnoteTextChar"/>
    <w:uiPriority w:val="99"/>
    <w:semiHidden/>
    <w:unhideWhenUsed/>
    <w:pPr>
      <w:spacing w:lineRule="auto" w:line="240" w:before="0" w:after="0"/>
    </w:pPr>
    <w:rPr>
      <w:sz w:val="20"/>
    </w:rPr>
  </w:style>
  <w:style w:type="paragraph" w:styleId="TableofFigures">
    <w:name w:val="table of figures"/>
    <w:basedOn w:val="Normal"/>
    <w:next w:val="Normal"/>
    <w:uiPriority w:val="99"/>
    <w:unhideWhenUsed/>
    <w:pPr>
      <w:spacing w:before="0" w:afterAutospacing="0" w:after="0"/>
    </w:pPr>
    <w:rPr/>
  </w:style>
  <w:style w:type="paragraph" w:styleId="Title">
    <w:name w:val="Title"/>
    <w:basedOn w:val="Normal"/>
    <w:next w:val="Normal"/>
    <w:link w:val="Style6"/>
    <w:uiPriority w:val="10"/>
    <w:qFormat/>
    <w:pPr>
      <w:spacing w:before="300" w:after="200"/>
      <w:contextualSpacing/>
    </w:pPr>
    <w:rPr>
      <w:sz w:val="48"/>
      <w:szCs w:val="48"/>
    </w:rPr>
  </w:style>
  <w:style w:type="paragraph" w:styleId="Subtitle">
    <w:name w:val="Subtitle"/>
    <w:basedOn w:val="Normal"/>
    <w:next w:val="Normal"/>
    <w:link w:val="Style7"/>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9"/>
    <w:uiPriority w:val="99"/>
    <w:semiHidden/>
    <w:unhideWhenUsed/>
    <w:pPr>
      <w:spacing w:before="0" w:after="40"/>
    </w:pPr>
    <w:rPr>
      <w:sz w:val="18"/>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Style17"/>
    <w:pPr/>
    <w:rPr/>
  </w:style>
  <w:style w:type="paragraph" w:styleId="TOCHeading">
    <w:name w:val="TOC Heading"/>
    <w:uiPriority w:val="39"/>
    <w:unhideWhenUsed/>
    <w:qFormat/>
    <w:pPr>
      <w:widowControl/>
      <w:bidi w:val="0"/>
      <w:spacing w:lineRule="auto" w:line="259" w:beforeAutospacing="0" w:before="0" w:afterAutospacing="0" w:after="160"/>
      <w:jc w:val="left"/>
    </w:pPr>
    <w:rPr>
      <w:rFonts w:ascii="Calibri" w:hAnsi="Calibri" w:eastAsia="Calibri" w:cs="Calibri"/>
      <w:color w:val="auto"/>
      <w:kern w:val="0"/>
      <w:sz w:val="22"/>
      <w:szCs w:val="22"/>
      <w:lang w:val="ru-RU" w:eastAsia="en-US" w:bidi="ar-SA"/>
    </w:rPr>
  </w:style>
  <w:style w:type="paragraph" w:styleId="BalloonText">
    <w:name w:val="Balloon Text"/>
    <w:basedOn w:val="Normal"/>
    <w:link w:val="Style11"/>
    <w:uiPriority w:val="99"/>
    <w:semiHidden/>
    <w:unhideWhenUsed/>
    <w:qFormat/>
    <w:pPr/>
    <w:rPr>
      <w:rFonts w:ascii="Segoe UI" w:hAnsi="Segoe UI" w:cs="Segoe UI"/>
      <w:sz w:val="18"/>
      <w:szCs w:val="18"/>
    </w:rPr>
  </w:style>
  <w:style w:type="paragraph" w:styleId="ListParagraph">
    <w:name w:val="List Paragraph"/>
    <w:basedOn w:val="Normal"/>
    <w:uiPriority w:val="99"/>
    <w:qFormat/>
    <w:pPr>
      <w:spacing w:before="0" w:after="0"/>
      <w:ind w:left="720"/>
      <w:contextualSpacing/>
    </w:pPr>
    <w:rPr/>
  </w:style>
  <w:style w:type="paragraph" w:styleId="NormalWeb">
    <w:name w:val="Normal (Web)"/>
    <w:basedOn w:val="Normal"/>
    <w:uiPriority w:val="99"/>
    <w:semiHidden/>
    <w:unhideWhenUsed/>
    <w:qFormat/>
    <w:pPr>
      <w:spacing w:beforeAutospacing="1" w:afterAutospacing="1"/>
    </w:pPr>
    <w:rPr>
      <w:sz w:val="24"/>
      <w:szCs w:val="24"/>
    </w:rPr>
  </w:style>
  <w:style w:type="paragraph" w:styleId="ConsPlusNormal" w:customStyle="1">
    <w:name w:val="ConsPlusNormal"/>
    <w:qFormat/>
    <w:pPr>
      <w:widowControl w:val="false"/>
      <w:bidi w:val="0"/>
      <w:spacing w:lineRule="auto" w:line="240" w:beforeAutospacing="0" w:before="0" w:afterAutospacing="0" w:after="0"/>
      <w:jc w:val="left"/>
    </w:pPr>
    <w:rPr>
      <w:rFonts w:eastAsia="Times New Roman" w:ascii="Calibri" w:hAnsi="Calibri" w:cs="Calibri"/>
      <w:color w:val="auto"/>
      <w:kern w:val="0"/>
      <w:sz w:val="22"/>
      <w:szCs w:val="20"/>
      <w:lang w:eastAsia="ru-RU" w:val="ru-RU" w:bidi="ar-SA"/>
    </w:rPr>
  </w:style>
  <w:style w:type="paragraph" w:styleId="HeaderandFooter">
    <w:name w:val="Header and Footer"/>
    <w:basedOn w:val="Normal"/>
    <w:qFormat/>
    <w:pPr/>
    <w:rPr/>
  </w:style>
  <w:style w:type="paragraph" w:styleId="Header">
    <w:name w:val="header"/>
    <w:basedOn w:val="Normal"/>
    <w:link w:val="Style14"/>
    <w:uiPriority w:val="99"/>
    <w:unhideWhenUsed/>
    <w:pPr>
      <w:tabs>
        <w:tab w:val="clear" w:pos="708"/>
        <w:tab w:val="center" w:pos="4677" w:leader="none"/>
        <w:tab w:val="right" w:pos="9355" w:leader="none"/>
      </w:tabs>
    </w:pPr>
    <w:rPr/>
  </w:style>
  <w:style w:type="paragraph" w:styleId="Footer">
    <w:name w:val="footer"/>
    <w:basedOn w:val="Normal"/>
    <w:link w:val="Style15"/>
    <w:uiPriority w:val="99"/>
    <w:unhideWhenUsed/>
    <w:pPr>
      <w:tabs>
        <w:tab w:val="clear" w:pos="708"/>
        <w:tab w:val="center" w:pos="4677" w:leader="none"/>
        <w:tab w:val="right" w:pos="9355" w:leader="none"/>
      </w:tabs>
    </w:pPr>
    <w:rPr/>
  </w:style>
  <w:style w:type="paragraph" w:styleId="ConsPlusTitle" w:customStyle="1">
    <w:name w:val="ConsPlusTitle"/>
    <w:qFormat/>
    <w:pPr>
      <w:widowControl w:val="false"/>
      <w:bidi w:val="0"/>
      <w:spacing w:lineRule="auto" w:line="240" w:beforeAutospacing="0" w:before="0" w:afterAutospacing="0" w:after="0"/>
      <w:jc w:val="left"/>
    </w:pPr>
    <w:rPr>
      <w:rFonts w:ascii="Arial" w:hAnsi="Arial" w:cs="Arial" w:eastAsia="Calibri"/>
      <w:b/>
      <w:color w:val="auto"/>
      <w:kern w:val="0"/>
      <w:sz w:val="20"/>
      <w:szCs w:val="22"/>
      <w:lang w:eastAsia="ru-RU" w:val="ru-RU" w:bidi="ar-SA"/>
    </w:rPr>
  </w:style>
  <w:style w:type="paragraph" w:styleId="s1" w:customStyle="1">
    <w:name w:val="s_1"/>
    <w:basedOn w:val="Normal"/>
    <w:qFormat/>
    <w:pPr>
      <w:spacing w:beforeAutospacing="1" w:afterAutospacing="1"/>
    </w:pPr>
    <w:rPr>
      <w:sz w:val="24"/>
      <w:szCs w:val="24"/>
    </w:rPr>
  </w:style>
  <w:style w:type="paragraph" w:styleId="NoSpacing">
    <w:name w:val="No Spacing"/>
    <w:uiPriority w:val="99"/>
    <w:qFormat/>
    <w:pPr>
      <w:widowControl/>
      <w:bidi w:val="0"/>
      <w:spacing w:lineRule="auto" w:line="240" w:beforeAutospacing="0" w:before="0" w:afterAutospacing="0" w:after="0"/>
      <w:jc w:val="left"/>
    </w:pPr>
    <w:rPr>
      <w:rFonts w:cs="Times New Roman" w:ascii="Calibri" w:hAnsi="Calibri" w:eastAsia="Calibri"/>
      <w:color w:val="auto"/>
      <w:kern w:val="0"/>
      <w:sz w:val="22"/>
      <w:szCs w:val="22"/>
      <w:lang w:val="ru-RU" w:eastAsia="en-US" w:bidi="ar-SA"/>
    </w:rPr>
  </w:style>
  <w:style w:type="paragraph" w:styleId="Style19" w:customStyle="1">
    <w:name w:val="Информация о версии"/>
    <w:basedOn w:val="BalloonText"/>
    <w:qFormat/>
    <w:pPr>
      <w:keepNext w:val="false"/>
      <w:keepLines w:val="false"/>
      <w:pageBreakBefore w:val="false"/>
      <w:widowControl/>
      <w:pBdr/>
      <w:shd w:val="nil"/>
      <w:spacing w:lineRule="auto" w:line="240" w:beforeAutospacing="0" w:before="75" w:afterAutospacing="0" w:after="0"/>
      <w:ind w:hanging="0" w:left="170" w:right="0"/>
      <w:jc w:val="both"/>
    </w:pPr>
    <w:rPr>
      <w:rFonts w:ascii="TimesNewRomanCYR" w:hAnsi="TimesNewRomanCYR" w:eastAsia="TimesNewRomanCYR" w:cs="TimesNewRomanCYR"/>
      <w:b w:val="false"/>
      <w:bCs w:val="false"/>
      <w:i/>
      <w:iCs w:val="false"/>
      <w:caps w:val="false"/>
      <w:smallCaps w:val="false"/>
      <w:strike w:val="false"/>
      <w:dstrike w:val="false"/>
      <w:vanish w:val="false"/>
      <w:color w:val="353842"/>
      <w:spacing w:val="0"/>
      <w:position w:val="0"/>
      <w:sz w:val="24"/>
      <w:sz w:val="24"/>
      <w:szCs w:val="20"/>
      <w:u w:val="none"/>
      <w:vertAlign w:val="baseline"/>
      <w:lang w:val="en-US" w:eastAsia="zh-CN" w:bidi="ar-SA"/>
      <w14:ligatures w14:val="none"/>
    </w:rPr>
  </w:style>
  <w:style w:type="paragraph" w:styleId="Style20" w:customStyle="1">
    <w:name w:val="Комментарий"/>
    <w:basedOn w:val="TOC2"/>
    <w:qFormat/>
    <w:pPr>
      <w:keepNext w:val="false"/>
      <w:keepLines w:val="false"/>
      <w:pageBreakBefore w:val="false"/>
      <w:widowControl/>
      <w:pBdr/>
      <w:shd w:val="nil"/>
      <w:spacing w:lineRule="auto" w:line="240" w:beforeAutospacing="0" w:before="75" w:afterAutospacing="0" w:after="0"/>
      <w:ind w:hanging="0" w:left="170" w:right="0"/>
      <w:jc w:val="both"/>
    </w:pPr>
    <w:rPr>
      <w:rFonts w:ascii="TimesNewRomanCYR" w:hAnsi="TimesNewRomanCYR" w:eastAsia="TimesNewRomanCYR" w:cs="TimesNewRomanCYR"/>
      <w:b w:val="false"/>
      <w:bCs w:val="false"/>
      <w:i w:val="false"/>
      <w:iCs w:val="false"/>
      <w:caps w:val="false"/>
      <w:smallCaps w:val="false"/>
      <w:strike w:val="false"/>
      <w:dstrike w:val="false"/>
      <w:vanish w:val="false"/>
      <w:color w:val="353842"/>
      <w:spacing w:val="0"/>
      <w:position w:val="0"/>
      <w:sz w:val="24"/>
      <w:sz w:val="24"/>
      <w:szCs w:val="20"/>
      <w:u w:val="none"/>
      <w:vertAlign w:val="baseline"/>
      <w:lang w:val="en-US" w:eastAsia="zh-CN" w:bidi="ar-SA"/>
      <w14:ligatures w14:val="none"/>
    </w:rPr>
  </w:style>
  <w:style w:type="paragraph" w:styleId="ConsPlusNormal1" w:customStyle="1">
    <w:name w:val="       ConsPlusNormal"/>
    <w:qFormat/>
    <w:pPr>
      <w:keepNext w:val="false"/>
      <w:keepLines w:val="false"/>
      <w:pageBreakBefore w:val="false"/>
      <w:widowControl/>
      <w:pBdr/>
      <w:shd w:val="nil" w:color="000000"/>
      <w:bidi w:val="0"/>
      <w:spacing w:lineRule="auto" w:line="240" w:beforeAutospacing="0" w:before="0" w:afterAutospacing="0" w:after="0"/>
      <w:ind w:hanging="0" w:left="0" w:right="0"/>
      <w:jc w:val="left"/>
    </w:pPr>
    <w:rPr>
      <w:rFonts w:ascii="Arial" w:hAnsi="Arial" w:eastAsia="Arial" w:cs="Arial"/>
      <w:b w:val="false"/>
      <w:bCs w:val="false"/>
      <w:i w:val="false"/>
      <w:iCs w:val="false"/>
      <w:caps w:val="false"/>
      <w:smallCaps w:val="false"/>
      <w:strike w:val="false"/>
      <w:dstrike w:val="false"/>
      <w:vanish w:val="false"/>
      <w:color w:val="auto"/>
      <w:spacing w:val="0"/>
      <w:kern w:val="0"/>
      <w:position w:val="0"/>
      <w:sz w:val="16"/>
      <w:sz w:val="16"/>
      <w:szCs w:val="20"/>
      <w:u w:val="none"/>
      <w:vertAlign w:val="baseline"/>
      <w:lang w:val="en-US" w:eastAsia="zh-CN" w:bidi="ar-SA"/>
      <w14:ligatures w14:val="none"/>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Style23" w:default="1">
    <w:name w:val="Без списка"/>
    <w:uiPriority w:val="99"/>
    <w:semiHidden/>
    <w:unhideWhenUsed/>
    <w:qFormat/>
  </w:style>
  <w:style w:type="table" w:styleId="744">
    <w:name w:val="Table Grid Light"/>
    <w:basedOn w:val="866"/>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45">
    <w:name w:val="Plain Table 1"/>
    <w:basedOn w:val="866"/>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746">
    <w:name w:val="Plain Table 2"/>
    <w:basedOn w:val="866"/>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747">
    <w:name w:val="Plain Table 3"/>
    <w:basedOn w:val="866"/>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748">
    <w:name w:val="Plain Table 4"/>
    <w:basedOn w:val="866"/>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749">
    <w:name w:val="Plain Table 5"/>
    <w:basedOn w:val="866"/>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750">
    <w:name w:val="Grid Table 1 Light"/>
    <w:basedOn w:val="866"/>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751">
    <w:name w:val="Grid Table 1 Light - Accent 1"/>
    <w:basedOn w:val="866"/>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752">
    <w:name w:val="Grid Table 1 Light - Accent 2"/>
    <w:basedOn w:val="866"/>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753">
    <w:name w:val="Grid Table 1 Light - Accent 3"/>
    <w:basedOn w:val="866"/>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754">
    <w:name w:val="Grid Table 1 Light - Accent 4"/>
    <w:basedOn w:val="866"/>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755">
    <w:name w:val="Grid Table 1 Light - Accent 5"/>
    <w:basedOn w:val="866"/>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756">
    <w:name w:val="Grid Table 1 Light - Accent 6"/>
    <w:basedOn w:val="86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757">
    <w:name w:val="Grid Table 2"/>
    <w:basedOn w:val="866"/>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758">
    <w:name w:val="Grid Table 2 - Accent 1"/>
    <w:basedOn w:val="866"/>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DEBF6" w:themeFill="accent1" w:themeFillTint="34"/>
      </w:tcPr>
    </w:tblStylePr>
    <w:tblStylePr w:type="band1Vert">
      <w:rPr>
        <w:sz w:val="22"/>
      </w:rPr>
      <w:tblPr/>
      <w:tcPr>
        <w:shd w:val="clear" w:color="FFFFFF" w:fill="DDEBF6"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759">
    <w:name w:val="Grid Table 2 - Accent 2"/>
    <w:basedOn w:val="866"/>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760">
    <w:name w:val="Grid Table 2 - Accent 3"/>
    <w:basedOn w:val="866"/>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761">
    <w:name w:val="Grid Table 2 - Accent 4"/>
    <w:basedOn w:val="866"/>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762">
    <w:name w:val="Grid Table 2 - Accent 5"/>
    <w:basedOn w:val="866"/>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763">
    <w:name w:val="Grid Table 2 - Accent 6"/>
    <w:basedOn w:val="86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764">
    <w:name w:val="Grid Table 3"/>
    <w:basedOn w:val="866"/>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65">
    <w:name w:val="Grid Table 3 - Accent 1"/>
    <w:basedOn w:val="866"/>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DEBF6" w:themeFill="accent1" w:themeFillTint="34"/>
      </w:tcPr>
    </w:tblStylePr>
    <w:tblStylePr w:type="band1Vert">
      <w:rPr>
        <w:sz w:val="22"/>
      </w:rPr>
      <w:tblPr/>
      <w:tcPr>
        <w:shd w:val="clear" w:color="FFFFFF" w:fill="DDEBF6"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66">
    <w:name w:val="Grid Table 3 - Accent 2"/>
    <w:basedOn w:val="866"/>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67">
    <w:name w:val="Grid Table 3 - Accent 3"/>
    <w:basedOn w:val="866"/>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68">
    <w:name w:val="Grid Table 3 - Accent 4"/>
    <w:basedOn w:val="866"/>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69">
    <w:name w:val="Grid Table 3 - Accent 5"/>
    <w:basedOn w:val="866"/>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70">
    <w:name w:val="Grid Table 3 - Accent 6"/>
    <w:basedOn w:val="86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71">
    <w:name w:val="Grid Table 4"/>
    <w:basedOn w:val="866"/>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772">
    <w:name w:val="Grid Table 4 - Accent 1"/>
    <w:basedOn w:val="866"/>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FEBF6" w:themeFill="accent1" w:themeFillTint="32"/>
      </w:tcPr>
    </w:tblStylePr>
    <w:tblStylePr w:type="band1Vert">
      <w:rPr>
        <w:sz w:val="22"/>
      </w:rPr>
      <w:tblPr/>
      <w:tcPr>
        <w:shd w:val="clear" w:color="FFFFFF" w:fill="DFEBF6"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67A4D8"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773">
    <w:name w:val="Grid Table 4 - Accent 2"/>
    <w:basedOn w:val="866"/>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BE5D6" w:themeFill="accent2" w:themeFillTint="32"/>
      </w:tcPr>
    </w:tblStylePr>
    <w:tblStylePr w:type="band1Vert">
      <w:rPr>
        <w:sz w:val="22"/>
      </w:rPr>
      <w:tblPr/>
      <w:tcPr>
        <w:shd w:val="clear" w:color="FFFFFF" w:fill="FBE5D6"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185"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774">
    <w:name w:val="Grid Table 4 - Accent 3"/>
    <w:basedOn w:val="866"/>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DEDED" w:themeFill="accent3" w:themeFillTint="34"/>
      </w:tcPr>
    </w:tblStylePr>
    <w:tblStylePr w:type="band1Vert">
      <w:rPr>
        <w:sz w:val="22"/>
      </w:rPr>
      <w:tblPr/>
      <w:tcPr>
        <w:shd w:val="clear" w:color="FFFFFF" w:fill="EDEDE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775">
    <w:name w:val="Grid Table 4 - Accent 4"/>
    <w:basedOn w:val="866"/>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FEF2CB" w:themeFill="accent4" w:themeFillTint="34"/>
      </w:tcPr>
    </w:tblStylePr>
    <w:tblStylePr w:type="band1Vert">
      <w:rPr>
        <w:sz w:val="22"/>
      </w:rPr>
      <w:tblPr/>
      <w:tcPr>
        <w:shd w:val="clear" w:color="FFFFFF" w:fill="FEF2CB"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864"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776">
    <w:name w:val="Grid Table 4 - Accent 5"/>
    <w:basedOn w:val="866"/>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9E2F2" w:themeFill="accent5" w:themeFillTint="34"/>
      </w:tcPr>
    </w:tblStylePr>
    <w:tblStylePr w:type="band1Vert">
      <w:rPr>
        <w:sz w:val="22"/>
      </w:rPr>
      <w:tblPr/>
      <w:tcPr>
        <w:shd w:val="clear" w:color="FFFFFF" w:fill="D9E2F2"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472C4" w:themeFill="accent5"/>
      </w:tcPr>
    </w:tblStylePr>
    <w:tblStylePr w:type="lastCol">
      <w:rPr>
        <w:b/>
      </w:rPr>
      <w:tblPr/>
    </w:tblStylePr>
    <w:tblStylePr w:type="lastRow">
      <w:rPr>
        <w:b/>
      </w:rPr>
      <w:tblPr/>
      <w:tcPr>
        <w:tcBorders>
          <w:top w:val="single" w:color="000000" w:themeColor="accent5" w:sz="4" w:space="0"/>
        </w:tcBorders>
      </w:tcPr>
    </w:tblStylePr>
  </w:style>
  <w:style w:type="table" w:styleId="777">
    <w:name w:val="Grid Table 4 - Accent 6"/>
    <w:basedOn w:val="866"/>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E2EFD8" w:themeFill="accent6" w:themeFillTint="34"/>
      </w:tcPr>
    </w:tblStylePr>
    <w:tblStylePr w:type="band1Vert">
      <w:rPr>
        <w:sz w:val="22"/>
      </w:rPr>
      <w:tblPr/>
      <w:tcPr>
        <w:shd w:val="clear" w:color="FFFFFF" w:fill="E2EF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rPr>
      <w:tblPr/>
    </w:tblStylePr>
    <w:tblStylePr w:type="lastRow">
      <w:rPr>
        <w:b/>
      </w:rPr>
      <w:tblPr/>
      <w:tcPr>
        <w:tcBorders>
          <w:top w:val="single" w:color="000000" w:themeColor="accent6" w:sz="4" w:space="0"/>
        </w:tcBorders>
      </w:tcPr>
    </w:tblStylePr>
  </w:style>
  <w:style w:type="table" w:styleId="778">
    <w:name w:val="Grid Table 5 Dark"/>
    <w:basedOn w:val="86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779">
    <w:name w:val="Grid Table 5 Dark- Accent 1"/>
    <w:basedOn w:val="86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2EB" w:themeFill="accent1" w:themeFillTint="75"/>
      </w:tcPr>
    </w:tblStylePr>
    <w:tblStylePr w:type="band1Vert">
      <w:tblPr/>
      <w:tcPr>
        <w:shd w:val="clear" w:color="FFFFFF" w:fill="B4D2EB" w:themeFill="accent1" w:themeFillTint="75"/>
      </w:tcPr>
    </w:tblStylePr>
    <w:tblStylePr w:type="firstCol">
      <w:rPr>
        <w:b/>
        <w:sz w:val="22"/>
      </w:rPr>
      <w:tblPr/>
      <w:tcPr>
        <w:shd w:val="clear" w:color="FFFFFF" w:fill="5B9BD5" w:themeFill="accent1"/>
      </w:tcPr>
    </w:tblStylePr>
    <w:tblStylePr w:type="firstRow">
      <w:rPr>
        <w:b/>
        <w:sz w:val="22"/>
      </w:rPr>
      <w:tblPr/>
      <w:tcPr>
        <w:shd w:val="clear" w:color="FFFFFF" w:fill="5B9BD5" w:themeFill="accent1"/>
      </w:tcPr>
    </w:tblStylePr>
    <w:tblStylePr w:type="lastCol">
      <w:rPr>
        <w:b/>
        <w:sz w:val="22"/>
      </w:rPr>
      <w:tblPr/>
      <w:tcPr>
        <w:shd w:val="clear" w:color="FFFFFF" w:fill="5B9BD5" w:themeFill="accent1"/>
      </w:tcPr>
    </w:tblStylePr>
    <w:tblStylePr w:type="lastRow">
      <w:rPr>
        <w:b/>
        <w:sz w:val="22"/>
      </w:rPr>
      <w:tblPr/>
      <w:tcPr>
        <w:tcBorders>
          <w:top w:val="single" w:color="000000" w:themeColor="light1" w:sz="4" w:space="0"/>
        </w:tcBorders>
        <w:shd w:val="clear" w:color="FFFFFF" w:fill="5B9BD5" w:themeFill="accent1"/>
      </w:tcPr>
    </w:tblStylePr>
  </w:style>
  <w:style w:type="table" w:styleId="780">
    <w:name w:val="Grid Table 5 Dark - Accent 2"/>
    <w:basedOn w:val="86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6C3A1" w:themeFill="accent2" w:themeFillTint="75"/>
      </w:tcPr>
    </w:tblStylePr>
    <w:tblStylePr w:type="band1Vert">
      <w:tblPr/>
      <w:tcPr>
        <w:shd w:val="clear" w:color="FFFFFF" w:fill="F6C3A1" w:themeFill="accent2" w:themeFillTint="75"/>
      </w:tcPr>
    </w:tblStylePr>
    <w:tblStylePr w:type="firstCol">
      <w:rPr>
        <w:b/>
        <w:sz w:val="22"/>
      </w:rPr>
      <w:tblPr/>
      <w:tcPr>
        <w:shd w:val="clear" w:color="FFFFFF" w:fill="ED7D31" w:themeFill="accent2"/>
      </w:tcPr>
    </w:tblStylePr>
    <w:tblStylePr w:type="firstRow">
      <w:rPr>
        <w:b/>
        <w:sz w:val="22"/>
      </w:rPr>
      <w:tblPr/>
      <w:tcPr>
        <w:shd w:val="clear" w:color="FFFFFF" w:fill="ED7D31" w:themeFill="accent2"/>
      </w:tcPr>
    </w:tblStylePr>
    <w:tblStylePr w:type="lastCol">
      <w:rPr>
        <w:b/>
        <w:sz w:val="22"/>
      </w:rPr>
      <w:tblPr/>
      <w:tcPr>
        <w:shd w:val="clear" w:color="FFFFFF" w:fill="ED7D31" w:themeFill="accent2"/>
      </w:tcPr>
    </w:tblStylePr>
    <w:tblStylePr w:type="lastRow">
      <w:rPr>
        <w:b/>
        <w:sz w:val="22"/>
      </w:rPr>
      <w:tblPr/>
      <w:tcPr>
        <w:tcBorders>
          <w:top w:val="single" w:color="000000" w:themeColor="light1" w:sz="4" w:space="0"/>
        </w:tcBorders>
        <w:shd w:val="clear" w:color="FFFFFF" w:fill="ED7D31" w:themeFill="accent2"/>
      </w:tcPr>
    </w:tblStylePr>
  </w:style>
  <w:style w:type="table" w:styleId="781">
    <w:name w:val="Grid Table 5 Dark - Accent 3"/>
    <w:basedOn w:val="86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firstCol">
      <w:rPr>
        <w:b/>
        <w:sz w:val="22"/>
      </w:rPr>
      <w:tblPr/>
      <w:tcPr>
        <w:shd w:val="clear" w:color="FFFFFF" w:fill="A5A5A5" w:themeFill="accent3"/>
      </w:tcPr>
    </w:tblStylePr>
    <w:tblStylePr w:type="firstRow">
      <w:rPr>
        <w:b/>
        <w:sz w:val="22"/>
      </w:rPr>
      <w:tblPr/>
      <w:tcPr>
        <w:shd w:val="clear" w:color="FFFFFF" w:fill="A5A5A5" w:themeFill="accent3"/>
      </w:tcPr>
    </w:tblStylePr>
    <w:tblStylePr w:type="lastCol">
      <w:rPr>
        <w:b/>
        <w:sz w:val="22"/>
      </w:rPr>
      <w:tblPr/>
      <w:tcPr>
        <w:shd w:val="clear" w:color="FFFFFF" w:fill="A5A5A5" w:themeFill="accent3"/>
      </w:tcPr>
    </w:tblStylePr>
    <w:tblStylePr w:type="lastRow">
      <w:rPr>
        <w:b/>
        <w:sz w:val="22"/>
      </w:rPr>
      <w:tblPr/>
      <w:tcPr>
        <w:tcBorders>
          <w:top w:val="single" w:color="000000" w:themeColor="light1" w:sz="4" w:space="0"/>
        </w:tcBorders>
        <w:shd w:val="clear" w:color="FFFFFF" w:fill="A5A5A5" w:themeFill="accent3"/>
      </w:tcPr>
    </w:tblStylePr>
  </w:style>
  <w:style w:type="table" w:styleId="782">
    <w:name w:val="Grid Table 5 Dark- Accent 4"/>
    <w:basedOn w:val="86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EE189" w:themeFill="accent4" w:themeFillTint="75"/>
      </w:tcPr>
    </w:tblStylePr>
    <w:tblStylePr w:type="band1Vert">
      <w:tblPr/>
      <w:tcPr>
        <w:shd w:val="clear" w:color="FFFFFF" w:fill="FEE189" w:themeFill="accent4" w:themeFillTint="75"/>
      </w:tcPr>
    </w:tblStylePr>
    <w:tblStylePr w:type="firstCol">
      <w:rPr>
        <w:b/>
        <w:sz w:val="22"/>
      </w:rPr>
      <w:tblPr/>
      <w:tcPr>
        <w:shd w:val="clear" w:color="FFFFFF" w:fill="FFC000" w:themeFill="accent4"/>
      </w:tcPr>
    </w:tblStylePr>
    <w:tblStylePr w:type="firstRow">
      <w:rPr>
        <w:b/>
        <w:sz w:val="22"/>
      </w:rPr>
      <w:tblPr/>
      <w:tcPr>
        <w:shd w:val="clear" w:color="FFFFFF" w:fill="FFC000" w:themeFill="accent4"/>
      </w:tcPr>
    </w:tblStylePr>
    <w:tblStylePr w:type="lastCol">
      <w:rPr>
        <w:b/>
        <w:sz w:val="22"/>
      </w:rPr>
      <w:tblPr/>
      <w:tcPr>
        <w:shd w:val="clear" w:color="FFFFFF" w:fill="FFC000" w:themeFill="accent4"/>
      </w:tcPr>
    </w:tblStylePr>
    <w:tblStylePr w:type="lastRow">
      <w:rPr>
        <w:b/>
        <w:sz w:val="22"/>
      </w:rPr>
      <w:tblPr/>
      <w:tcPr>
        <w:tcBorders>
          <w:top w:val="single" w:color="000000" w:themeColor="light1" w:sz="4" w:space="0"/>
        </w:tcBorders>
        <w:shd w:val="clear" w:color="FFFFFF" w:fill="FFC000" w:themeFill="accent4"/>
      </w:tcPr>
    </w:tblStylePr>
  </w:style>
  <w:style w:type="table" w:styleId="783">
    <w:name w:val="Grid Table 5 Dark - Accent 5"/>
    <w:basedOn w:val="86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ABFE3" w:themeFill="accent5" w:themeFillTint="75"/>
      </w:tcPr>
    </w:tblStylePr>
    <w:tblStylePr w:type="band1Vert">
      <w:tblPr/>
      <w:tcPr>
        <w:shd w:val="clear" w:color="FFFFFF" w:fill="AABFE3" w:themeFill="accent5" w:themeFillTint="75"/>
      </w:tcPr>
    </w:tblStylePr>
    <w:tblStylePr w:type="firstCol">
      <w:rPr>
        <w:b/>
        <w:sz w:val="22"/>
      </w:rPr>
      <w:tblPr/>
      <w:tcPr>
        <w:shd w:val="clear" w:color="FFFFFF" w:fill="4472C4" w:themeFill="accent5"/>
      </w:tcPr>
    </w:tblStylePr>
    <w:tblStylePr w:type="firstRow">
      <w:rPr>
        <w:b/>
        <w:sz w:val="22"/>
      </w:rPr>
      <w:tblPr/>
      <w:tcPr>
        <w:shd w:val="clear" w:color="FFFFFF" w:fill="4472C4" w:themeFill="accent5"/>
      </w:tcPr>
    </w:tblStylePr>
    <w:tblStylePr w:type="lastCol">
      <w:rPr>
        <w:b/>
        <w:sz w:val="22"/>
      </w:rPr>
      <w:tblPr/>
      <w:tcPr>
        <w:shd w:val="clear" w:color="FFFFFF" w:fill="4472C4" w:themeFill="accent5"/>
      </w:tcPr>
    </w:tblStylePr>
    <w:tblStylePr w:type="lastRow">
      <w:rPr>
        <w:b/>
        <w:sz w:val="22"/>
      </w:rPr>
      <w:tblPr/>
      <w:tcPr>
        <w:tcBorders>
          <w:top w:val="single" w:color="000000" w:themeColor="light1" w:sz="4" w:space="0"/>
        </w:tcBorders>
        <w:shd w:val="clear" w:color="FFFFFF" w:fill="4472C4" w:themeFill="accent5"/>
      </w:tcPr>
    </w:tblStylePr>
  </w:style>
  <w:style w:type="table" w:styleId="784">
    <w:name w:val="Grid Table 5 Dark - Accent 6"/>
    <w:basedOn w:val="86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EDBA8" w:themeFill="accent6" w:themeFillTint="75"/>
      </w:tcPr>
    </w:tblStylePr>
    <w:tblStylePr w:type="band1Vert">
      <w:tblPr/>
      <w:tcPr>
        <w:shd w:val="clear" w:color="FFFFFF" w:fill="BEDBA8" w:themeFill="accent6" w:themeFillTint="75"/>
      </w:tcPr>
    </w:tblStylePr>
    <w:tblStylePr w:type="firstCol">
      <w:rPr>
        <w:b/>
        <w:sz w:val="22"/>
      </w:rPr>
      <w:tblPr/>
      <w:tcPr>
        <w:shd w:val="clear" w:color="FFFFFF" w:fill="70AD47" w:themeFill="accent6"/>
      </w:tcPr>
    </w:tblStylePr>
    <w:tblStylePr w:type="firstRow">
      <w:rPr>
        <w:b/>
        <w:sz w:val="22"/>
      </w:rPr>
      <w:tblPr/>
      <w:tcPr>
        <w:shd w:val="clear" w:color="FFFFFF" w:fill="70AD47" w:themeFill="accent6"/>
      </w:tcPr>
    </w:tblStylePr>
    <w:tblStylePr w:type="lastCol">
      <w:rPr>
        <w:b/>
        <w:sz w:val="22"/>
      </w:rPr>
      <w:tblPr/>
      <w:tcPr>
        <w:shd w:val="clear" w:color="FFFFFF" w:fill="70AD47" w:themeFill="accent6"/>
      </w:tcPr>
    </w:tblStylePr>
    <w:tblStylePr w:type="lastRow">
      <w:rPr>
        <w:b/>
        <w:sz w:val="22"/>
      </w:rPr>
      <w:tblPr/>
      <w:tcPr>
        <w:tcBorders>
          <w:top w:val="single" w:color="000000" w:themeColor="light1" w:sz="4" w:space="0"/>
        </w:tcBorders>
        <w:shd w:val="clear" w:color="FFFFFF" w:fill="70AD47" w:themeFill="accent6"/>
      </w:tcPr>
    </w:tblStylePr>
  </w:style>
  <w:style w:type="table" w:styleId="785">
    <w:name w:val="Grid Table 6 Colorful"/>
    <w:basedOn w:val="866"/>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786">
    <w:name w:val="Grid Table 6 Colorful - Accent 1"/>
    <w:basedOn w:val="866"/>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DEBF6" w:themeFill="accent1" w:themeFillTint="34"/>
      </w:tcPr>
    </w:tblStylePr>
    <w:tblStylePr w:type="band1Vert">
      <w:tblPr/>
      <w:tcPr>
        <w:shd w:val="clear" w:color="FFFFFF" w:fill="DDEBF6"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787">
    <w:name w:val="Grid Table 6 Colorful - Accent 2"/>
    <w:basedOn w:val="866"/>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788">
    <w:name w:val="Grid Table 6 Colorful - Accent 3"/>
    <w:basedOn w:val="866"/>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789">
    <w:name w:val="Grid Table 6 Colorful - Accent 4"/>
    <w:basedOn w:val="866"/>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790">
    <w:name w:val="Grid Table 6 Colorful - Accent 5"/>
    <w:basedOn w:val="866"/>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9E2F2" w:themeFill="accent5" w:themeFillTint="34"/>
      </w:tcPr>
    </w:tblStylePr>
    <w:tblStylePr w:type="band1Vert">
      <w:tblPr/>
      <w:tcPr>
        <w:shd w:val="clear" w:color="FFFFFF" w:fill="D9E2F2"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791">
    <w:name w:val="Grid Table 6 Colorful - Accent 6"/>
    <w:basedOn w:val="86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792">
    <w:name w:val="Grid Table 7 Colorful"/>
    <w:basedOn w:val="866"/>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793">
    <w:name w:val="Grid Table 7 Colorful - Accent 1"/>
    <w:basedOn w:val="866"/>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DEBF6" w:themeFill="accent1" w:themeFillTint="34"/>
      </w:tcPr>
    </w:tblStylePr>
    <w:tblStylePr w:type="band1Vert">
      <w:tblPr/>
      <w:tcPr>
        <w:shd w:val="clear" w:color="FFFFFF" w:fill="DDEBF6"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794">
    <w:name w:val="Grid Table 7 Colorful - Accent 2"/>
    <w:basedOn w:val="866"/>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795">
    <w:name w:val="Grid Table 7 Colorful - Accent 3"/>
    <w:basedOn w:val="866"/>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796">
    <w:name w:val="Grid Table 7 Colorful - Accent 4"/>
    <w:basedOn w:val="866"/>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797">
    <w:name w:val="Grid Table 7 Colorful - Accent 5"/>
    <w:basedOn w:val="866"/>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9E2F2" w:themeFill="accent5" w:themeFillTint="34"/>
      </w:tcPr>
    </w:tblStylePr>
    <w:tblStylePr w:type="band1Vert">
      <w:tblPr/>
      <w:tcPr>
        <w:shd w:val="clear" w:color="FFFFFF" w:fill="D9E2F2"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798">
    <w:name w:val="Grid Table 7 Colorful - Accent 6"/>
    <w:basedOn w:val="866"/>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799">
    <w:name w:val="List Table 1 Light"/>
    <w:basedOn w:val="866"/>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800">
    <w:name w:val="List Table 1 Light - Accent 1"/>
    <w:basedOn w:val="866"/>
    <w:uiPriority w:val="99"/>
    <w:pPr>
      <w:spacing w:after="0" w:line="240" w:lineRule="auto"/>
    </w:pPr>
    <w:tblPr>
      <w:tblStyleRowBandSize w:val="1"/>
      <w:tblStyleColBandSize w:val="1"/>
    </w:tblPr>
    <w:tblStylePr w:type="band1Horz">
      <w:tblPr/>
      <w:tcPr>
        <w:shd w:val="clear" w:color="FFFFFF" w:fill="D5E6F4" w:themeFill="accent1" w:themeFillTint="40"/>
      </w:tcPr>
    </w:tblStylePr>
    <w:tblStylePr w:type="band1Vert">
      <w:tblPr/>
      <w:tcPr>
        <w:shd w:val="clear" w:color="FFFFFF" w:fill="D5E6F4"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801">
    <w:name w:val="List Table 1 Light - Accent 2"/>
    <w:basedOn w:val="866"/>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802">
    <w:name w:val="List Table 1 Light - Accent 3"/>
    <w:basedOn w:val="866"/>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803">
    <w:name w:val="List Table 1 Light - Accent 4"/>
    <w:basedOn w:val="866"/>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804">
    <w:name w:val="List Table 1 Light - Accent 5"/>
    <w:basedOn w:val="866"/>
    <w:uiPriority w:val="99"/>
    <w:pPr>
      <w:spacing w:after="0" w:line="240" w:lineRule="auto"/>
    </w:pPr>
    <w:tblPr>
      <w:tblStyleRowBandSize w:val="1"/>
      <w:tblStyleColBandSize w:val="1"/>
    </w:tblPr>
    <w:tblStylePr w:type="band1Horz">
      <w:tblPr/>
      <w:tcPr>
        <w:shd w:val="clear" w:color="FFFFFF" w:fill="CFDCF0" w:themeFill="accent5" w:themeFillTint="40"/>
      </w:tcPr>
    </w:tblStylePr>
    <w:tblStylePr w:type="band1Vert">
      <w:tblPr/>
      <w:tcPr>
        <w:shd w:val="clear" w:color="FFFFFF" w:fill="CFDC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805">
    <w:name w:val="List Table 1 Light - Accent 6"/>
    <w:basedOn w:val="866"/>
    <w:uiPriority w:val="99"/>
    <w:pPr>
      <w:spacing w:after="0" w:line="240" w:lineRule="auto"/>
    </w:pPr>
    <w:tblPr>
      <w:tblStyleRowBandSize w:val="1"/>
      <w:tblStyleColBandSize w:val="1"/>
    </w:tblPr>
    <w:tblStylePr w:type="band1Horz">
      <w:tblPr/>
      <w:tcPr>
        <w:shd w:val="clear" w:color="FFFFFF" w:fill="DBEBD0" w:themeFill="accent6" w:themeFillTint="40"/>
      </w:tcPr>
    </w:tblStylePr>
    <w:tblStylePr w:type="band1Vert">
      <w:tblPr/>
      <w:tcPr>
        <w:shd w:val="clear" w:color="FFFFFF" w:fill="DBEBD0"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806">
    <w:name w:val="List Table 2"/>
    <w:basedOn w:val="866"/>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807">
    <w:name w:val="List Table 2 - Accent 1"/>
    <w:basedOn w:val="866"/>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5E6F4" w:themeFill="accent1" w:themeFillTint="40"/>
      </w:tcPr>
    </w:tblStylePr>
    <w:tblStylePr w:type="band1Vert">
      <w:rPr>
        <w:sz w:val="22"/>
      </w:rPr>
      <w:tblPr/>
      <w:tcPr>
        <w:shd w:val="clear" w:color="FFFFFF" w:fill="D5E6F4"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808">
    <w:name w:val="List Table 2 - Accent 2"/>
    <w:basedOn w:val="866"/>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FADECB" w:themeFill="accent2" w:themeFillTint="40"/>
      </w:tcPr>
    </w:tblStylePr>
    <w:tblStylePr w:type="band1Vert">
      <w:rPr>
        <w:sz w:val="22"/>
      </w:rPr>
      <w:tblPr/>
      <w:tcPr>
        <w:shd w:val="clear" w:color="FFFFFF" w:fill="FADECB"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809">
    <w:name w:val="List Table 2 - Accent 3"/>
    <w:basedOn w:val="866"/>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8E8E8" w:themeFill="accent3" w:themeFillTint="40"/>
      </w:tcPr>
    </w:tblStylePr>
    <w:tblStylePr w:type="band1Vert">
      <w:rPr>
        <w:sz w:val="22"/>
      </w:rPr>
      <w:tblPr/>
      <w:tcPr>
        <w:shd w:val="clear" w:color="FFFFFF" w:fill="E8E8E8"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810">
    <w:name w:val="List Table 2 - Accent 4"/>
    <w:basedOn w:val="866"/>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FFEFBF" w:themeFill="accent4" w:themeFillTint="40"/>
      </w:tcPr>
    </w:tblStylePr>
    <w:tblStylePr w:type="band1Vert">
      <w:rPr>
        <w:sz w:val="22"/>
      </w:rPr>
      <w:tblPr/>
      <w:tcPr>
        <w:shd w:val="clear" w:color="FFFFFF" w:fill="FFEFBF"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811">
    <w:name w:val="List Table 2 - Accent 5"/>
    <w:basedOn w:val="866"/>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CFDCF0" w:themeFill="accent5" w:themeFillTint="40"/>
      </w:tcPr>
    </w:tblStylePr>
    <w:tblStylePr w:type="band1Vert">
      <w:rPr>
        <w:sz w:val="22"/>
      </w:rPr>
      <w:tblPr/>
      <w:tcPr>
        <w:shd w:val="clear" w:color="FFFFFF" w:fill="CFDC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812">
    <w:name w:val="List Table 2 - Accent 6"/>
    <w:basedOn w:val="866"/>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DBEBD0" w:themeFill="accent6" w:themeFillTint="40"/>
      </w:tcPr>
    </w:tblStylePr>
    <w:tblStylePr w:type="band1Vert">
      <w:rPr>
        <w:sz w:val="22"/>
      </w:rPr>
      <w:tblPr/>
      <w:tcPr>
        <w:shd w:val="clear" w:color="FFFFFF" w:fill="DBEBD0"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813">
    <w:name w:val="List Table 3"/>
    <w:basedOn w:val="86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814">
    <w:name w:val="List Table 3 - Accent 1"/>
    <w:basedOn w:val="866"/>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5B9BD5" w:themeFill="accent1"/>
      </w:tcPr>
    </w:tblStylePr>
    <w:tblStylePr w:type="lastCol">
      <w:rPr>
        <w:b/>
      </w:rPr>
      <w:tblPr/>
    </w:tblStylePr>
    <w:tblStylePr w:type="lastRow">
      <w:rPr>
        <w:b/>
      </w:rPr>
      <w:tblPr/>
    </w:tblStylePr>
  </w:style>
  <w:style w:type="table" w:styleId="815">
    <w:name w:val="List Table 3 - Accent 2"/>
    <w:basedOn w:val="866"/>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F4B185" w:themeFill="accent2" w:themeFillTint="97"/>
      </w:tcPr>
    </w:tblStylePr>
    <w:tblStylePr w:type="lastCol">
      <w:rPr>
        <w:b/>
      </w:rPr>
      <w:tblPr/>
    </w:tblStylePr>
    <w:tblStylePr w:type="lastRow">
      <w:rPr>
        <w:b/>
      </w:rPr>
      <w:tblPr/>
    </w:tblStylePr>
  </w:style>
  <w:style w:type="table" w:styleId="816">
    <w:name w:val="List Table 3 - Accent 3"/>
    <w:basedOn w:val="866"/>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9C9C9" w:themeFill="accent3" w:themeFillTint="98"/>
      </w:tcPr>
    </w:tblStylePr>
    <w:tblStylePr w:type="lastCol">
      <w:rPr>
        <w:b/>
      </w:rPr>
      <w:tblPr/>
    </w:tblStylePr>
    <w:tblStylePr w:type="lastRow">
      <w:rPr>
        <w:b/>
      </w:rPr>
      <w:tblPr/>
    </w:tblStylePr>
  </w:style>
  <w:style w:type="table" w:styleId="817">
    <w:name w:val="List Table 3 - Accent 4"/>
    <w:basedOn w:val="866"/>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FFD864" w:themeFill="accent4" w:themeFillTint="9a"/>
      </w:tcPr>
    </w:tblStylePr>
    <w:tblStylePr w:type="lastCol">
      <w:rPr>
        <w:b/>
      </w:rPr>
      <w:tblPr/>
    </w:tblStylePr>
    <w:tblStylePr w:type="lastRow">
      <w:rPr>
        <w:b/>
      </w:rPr>
      <w:tblPr/>
    </w:tblStylePr>
  </w:style>
  <w:style w:type="table" w:styleId="818">
    <w:name w:val="List Table 3 - Accent 5"/>
    <w:basedOn w:val="866"/>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8EABDB" w:themeFill="accent5" w:themeFillTint="9a"/>
      </w:tcPr>
    </w:tblStylePr>
    <w:tblStylePr w:type="lastCol">
      <w:rPr>
        <w:b/>
      </w:rPr>
      <w:tblPr/>
    </w:tblStylePr>
    <w:tblStylePr w:type="lastRow">
      <w:rPr>
        <w:b/>
      </w:rPr>
      <w:tblPr/>
    </w:tblStylePr>
  </w:style>
  <w:style w:type="table" w:styleId="819">
    <w:name w:val="List Table 3 - Accent 6"/>
    <w:basedOn w:val="866"/>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AAD08F" w:themeFill="accent6" w:themeFillTint="98"/>
      </w:tcPr>
    </w:tblStylePr>
    <w:tblStylePr w:type="lastCol">
      <w:rPr>
        <w:b/>
      </w:rPr>
      <w:tblPr/>
    </w:tblStylePr>
    <w:tblStylePr w:type="lastRow">
      <w:rPr>
        <w:b/>
      </w:rPr>
      <w:tblPr/>
    </w:tblStylePr>
  </w:style>
  <w:style w:type="table" w:styleId="820">
    <w:name w:val="List Table 4"/>
    <w:basedOn w:val="86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821">
    <w:name w:val="List Table 4 - Accent 1"/>
    <w:basedOn w:val="866"/>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5E6F4" w:themeFill="accent1" w:themeFillTint="40"/>
      </w:tcPr>
    </w:tblStylePr>
    <w:tblStylePr w:type="band1Vert">
      <w:rPr>
        <w:sz w:val="22"/>
      </w:rPr>
      <w:tblPr/>
      <w:tcPr>
        <w:shd w:val="clear" w:color="FFFFFF" w:fill="D5E6F4" w:themeFill="accent1" w:themeFillTint="40"/>
      </w:tcPr>
    </w:tblStylePr>
    <w:tblStylePr w:type="firstCol">
      <w:rPr>
        <w:b/>
      </w:rPr>
      <w:tblPr/>
    </w:tblStylePr>
    <w:tblStylePr w:type="firstRow">
      <w:rPr>
        <w:b/>
        <w:sz w:val="22"/>
      </w:rPr>
      <w:tblPr/>
      <w:tcPr>
        <w:shd w:val="clear" w:color="FFFFFF" w:fill="5B9BD5" w:themeFill="accent1"/>
      </w:tcPr>
    </w:tblStylePr>
    <w:tblStylePr w:type="lastCol">
      <w:rPr>
        <w:b/>
      </w:rPr>
      <w:tblPr/>
    </w:tblStylePr>
    <w:tblStylePr w:type="lastRow">
      <w:rPr>
        <w:b/>
      </w:rPr>
      <w:tblPr/>
    </w:tblStylePr>
  </w:style>
  <w:style w:type="table" w:styleId="822">
    <w:name w:val="List Table 4 - Accent 2"/>
    <w:basedOn w:val="866"/>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FADECB" w:themeFill="accent2" w:themeFillTint="40"/>
      </w:tcPr>
    </w:tblStylePr>
    <w:tblStylePr w:type="band1Vert">
      <w:rPr>
        <w:sz w:val="22"/>
      </w:rPr>
      <w:tblPr/>
      <w:tcPr>
        <w:shd w:val="clear" w:color="FFFFFF" w:fill="FADECB" w:themeFill="accent2" w:themeFillTint="40"/>
      </w:tcPr>
    </w:tblStylePr>
    <w:tblStylePr w:type="firstCol">
      <w:rPr>
        <w:b/>
      </w:rPr>
      <w:tblPr/>
    </w:tblStylePr>
    <w:tblStylePr w:type="firstRow">
      <w:rPr>
        <w:b/>
        <w:sz w:val="22"/>
      </w:rPr>
      <w:tblPr/>
      <w:tcPr>
        <w:shd w:val="clear" w:color="FFFFFF" w:fill="ED7D31" w:themeFill="accent2"/>
      </w:tcPr>
    </w:tblStylePr>
    <w:tblStylePr w:type="lastCol">
      <w:rPr>
        <w:b/>
      </w:rPr>
      <w:tblPr/>
    </w:tblStylePr>
    <w:tblStylePr w:type="lastRow">
      <w:rPr>
        <w:b/>
      </w:rPr>
      <w:tblPr/>
    </w:tblStylePr>
  </w:style>
  <w:style w:type="table" w:styleId="823">
    <w:name w:val="List Table 4 - Accent 3"/>
    <w:basedOn w:val="866"/>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8E8E8" w:themeFill="accent3" w:themeFillTint="40"/>
      </w:tcPr>
    </w:tblStylePr>
    <w:tblStylePr w:type="band1Vert">
      <w:rPr>
        <w:sz w:val="22"/>
      </w:rPr>
      <w:tblPr/>
      <w:tcPr>
        <w:shd w:val="clear" w:color="FFFFFF" w:fill="E8E8E8" w:themeFill="accent3" w:themeFillTint="40"/>
      </w:tcPr>
    </w:tblStylePr>
    <w:tblStylePr w:type="firstCol">
      <w:rPr>
        <w:b/>
      </w:rPr>
      <w:tblPr/>
    </w:tblStylePr>
    <w:tblStylePr w:type="firstRow">
      <w:rPr>
        <w:b/>
        <w:sz w:val="22"/>
      </w:rPr>
      <w:tblPr/>
      <w:tcPr>
        <w:shd w:val="clear" w:color="FFFFFF" w:fill="A5A5A5" w:themeFill="accent3"/>
      </w:tcPr>
    </w:tblStylePr>
    <w:tblStylePr w:type="lastCol">
      <w:rPr>
        <w:b/>
      </w:rPr>
      <w:tblPr/>
    </w:tblStylePr>
    <w:tblStylePr w:type="lastRow">
      <w:rPr>
        <w:b/>
      </w:rPr>
      <w:tblPr/>
    </w:tblStylePr>
  </w:style>
  <w:style w:type="table" w:styleId="824">
    <w:name w:val="List Table 4 - Accent 4"/>
    <w:basedOn w:val="866"/>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FFEFBF" w:themeFill="accent4" w:themeFillTint="40"/>
      </w:tcPr>
    </w:tblStylePr>
    <w:tblStylePr w:type="band1Vert">
      <w:rPr>
        <w:sz w:val="22"/>
      </w:rPr>
      <w:tblPr/>
      <w:tcPr>
        <w:shd w:val="clear" w:color="FFFFFF" w:fill="FFEFBF" w:themeFill="accent4" w:themeFillTint="40"/>
      </w:tcPr>
    </w:tblStylePr>
    <w:tblStylePr w:type="firstCol">
      <w:rPr>
        <w:b/>
      </w:rPr>
      <w:tblPr/>
    </w:tblStylePr>
    <w:tblStylePr w:type="firstRow">
      <w:rPr>
        <w:b/>
        <w:sz w:val="22"/>
      </w:rPr>
      <w:tblPr/>
      <w:tcPr>
        <w:shd w:val="clear" w:color="FFFFFF" w:fill="FFC000" w:themeFill="accent4"/>
      </w:tcPr>
    </w:tblStylePr>
    <w:tblStylePr w:type="lastCol">
      <w:rPr>
        <w:b/>
      </w:rPr>
      <w:tblPr/>
    </w:tblStylePr>
    <w:tblStylePr w:type="lastRow">
      <w:rPr>
        <w:b/>
      </w:rPr>
      <w:tblPr/>
    </w:tblStylePr>
  </w:style>
  <w:style w:type="table" w:styleId="825">
    <w:name w:val="List Table 4 - Accent 5"/>
    <w:basedOn w:val="866"/>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CFDCF0" w:themeFill="accent5" w:themeFillTint="40"/>
      </w:tcPr>
    </w:tblStylePr>
    <w:tblStylePr w:type="band1Vert">
      <w:rPr>
        <w:sz w:val="22"/>
      </w:rPr>
      <w:tblPr/>
      <w:tcPr>
        <w:shd w:val="clear" w:color="FFFFFF" w:fill="CFDCF0" w:themeFill="accent5" w:themeFillTint="40"/>
      </w:tcPr>
    </w:tblStylePr>
    <w:tblStylePr w:type="firstCol">
      <w:rPr>
        <w:b/>
      </w:rPr>
      <w:tblPr/>
    </w:tblStylePr>
    <w:tblStylePr w:type="firstRow">
      <w:rPr>
        <w:b/>
        <w:sz w:val="22"/>
      </w:rPr>
      <w:tblPr/>
      <w:tcPr>
        <w:shd w:val="clear" w:color="FFFFFF" w:fill="4472C4" w:themeFill="accent5"/>
      </w:tcPr>
    </w:tblStylePr>
    <w:tblStylePr w:type="lastCol">
      <w:rPr>
        <w:b/>
      </w:rPr>
      <w:tblPr/>
    </w:tblStylePr>
    <w:tblStylePr w:type="lastRow">
      <w:rPr>
        <w:b/>
      </w:rPr>
      <w:tblPr/>
    </w:tblStylePr>
  </w:style>
  <w:style w:type="table" w:styleId="826">
    <w:name w:val="List Table 4 - Accent 6"/>
    <w:basedOn w:val="866"/>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DBEBD0" w:themeFill="accent6" w:themeFillTint="40"/>
      </w:tcPr>
    </w:tblStylePr>
    <w:tblStylePr w:type="band1Vert">
      <w:rPr>
        <w:sz w:val="22"/>
      </w:rPr>
      <w:tblPr/>
      <w:tcPr>
        <w:shd w:val="clear" w:color="FFFFFF" w:fill="DBEBD0" w:themeFill="accent6" w:themeFillTint="40"/>
      </w:tcPr>
    </w:tblStylePr>
    <w:tblStylePr w:type="firstCol">
      <w:rPr>
        <w:b/>
      </w:rPr>
      <w:tblPr/>
    </w:tblStylePr>
    <w:tblStylePr w:type="firstRow">
      <w:rPr>
        <w:b/>
        <w:sz w:val="22"/>
      </w:rPr>
      <w:tblPr/>
      <w:tcPr>
        <w:shd w:val="clear" w:color="FFFFFF" w:fill="70AD47" w:themeFill="accent6"/>
      </w:tcPr>
    </w:tblStylePr>
    <w:tblStylePr w:type="lastCol">
      <w:rPr>
        <w:b/>
      </w:rPr>
      <w:tblPr/>
    </w:tblStylePr>
    <w:tblStylePr w:type="lastRow">
      <w:rPr>
        <w:b/>
      </w:rPr>
      <w:tblPr/>
    </w:tblStylePr>
  </w:style>
  <w:style w:type="table" w:styleId="827">
    <w:name w:val="List Table 5 Dark"/>
    <w:basedOn w:val="866"/>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828">
    <w:name w:val="List Table 5 Dark - Accent 1"/>
    <w:basedOn w:val="866"/>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5B9BD5" w:themeFill="accent1"/>
      </w:tcPr>
    </w:tblStylePr>
    <w:tblStylePr w:type="band1Vert">
      <w:tblPr/>
      <w:tcPr>
        <w:tcBorders>
          <w:left w:val="single" w:color="000000" w:themeColor="light1" w:sz="4" w:space="0"/>
          <w:right w:val="single" w:color="000000" w:themeColor="light1" w:sz="4" w:space="0"/>
        </w:tcBorders>
        <w:shd w:val="clear" w:color="FFFFFF" w:fill="5B9BD5" w:themeFill="accent1"/>
      </w:tcPr>
    </w:tblStylePr>
    <w:tblStylePr w:type="band2Horz">
      <w:tblPr/>
      <w:tcPr>
        <w:tcBorders>
          <w:top w:val="single" w:color="000000" w:themeColor="light1" w:sz="4" w:space="0"/>
          <w:bottom w:val="single" w:color="000000" w:themeColor="light1" w:sz="4" w:space="0"/>
        </w:tcBorders>
        <w:shd w:val="clear" w:color="FFFFFF" w:fill="5B9BD5"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5B9BD5"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829">
    <w:name w:val="List Table 5 Dark - Accent 2"/>
    <w:basedOn w:val="866"/>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185" w:themeFill="accent2" w:themeFillTint="97"/>
      </w:tcPr>
    </w:tblStylePr>
    <w:tblStylePr w:type="band1Vert">
      <w:tblPr/>
      <w:tcPr>
        <w:tcBorders>
          <w:left w:val="single" w:color="000000" w:themeColor="light1" w:sz="4" w:space="0"/>
          <w:right w:val="single" w:color="000000" w:themeColor="light1" w:sz="4" w:space="0"/>
        </w:tcBorders>
        <w:shd w:val="clear" w:color="FFFFFF" w:fill="F4B185" w:themeFill="accent2" w:themeFillTint="97"/>
      </w:tcPr>
    </w:tblStylePr>
    <w:tblStylePr w:type="band2Horz">
      <w:tblPr/>
      <w:tcPr>
        <w:tcBorders>
          <w:top w:val="single" w:color="000000" w:themeColor="light1" w:sz="4" w:space="0"/>
          <w:bottom w:val="single" w:color="000000" w:themeColor="light1" w:sz="4" w:space="0"/>
        </w:tcBorders>
        <w:shd w:val="clear" w:color="FFFFFF" w:fill="F4B1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F4B1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830">
    <w:name w:val="List Table 5 Dark - Accent 3"/>
    <w:basedOn w:val="866"/>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831">
    <w:name w:val="List Table 5 Dark - Accent 4"/>
    <w:basedOn w:val="866"/>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864" w:themeFill="accent4" w:themeFillTint="9a"/>
      </w:tcPr>
    </w:tblStylePr>
    <w:tblStylePr w:type="band1Vert">
      <w:tblPr/>
      <w:tcPr>
        <w:tcBorders>
          <w:left w:val="single" w:color="000000" w:themeColor="light1" w:sz="4" w:space="0"/>
          <w:right w:val="single" w:color="000000" w:themeColor="light1" w:sz="4" w:space="0"/>
        </w:tcBorders>
        <w:shd w:val="clear" w:color="FFFFFF" w:fill="FFD864" w:themeFill="accent4" w:themeFillTint="9a"/>
      </w:tcPr>
    </w:tblStylePr>
    <w:tblStylePr w:type="band2Horz">
      <w:tblPr/>
      <w:tcPr>
        <w:tcBorders>
          <w:top w:val="single" w:color="000000" w:themeColor="light1" w:sz="4" w:space="0"/>
          <w:bottom w:val="single" w:color="000000" w:themeColor="light1" w:sz="4" w:space="0"/>
        </w:tcBorders>
        <w:shd w:val="clear" w:color="FFFFFF" w:fill="FFD864"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FFD864"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832">
    <w:name w:val="List Table 5 Dark - Accent 5"/>
    <w:basedOn w:val="866"/>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8EABDB" w:themeFill="accent5" w:themeFillTint="9a"/>
      </w:tcPr>
    </w:tblStylePr>
    <w:tblStylePr w:type="band1Vert">
      <w:tblPr/>
      <w:tcPr>
        <w:tcBorders>
          <w:left w:val="single" w:color="000000" w:themeColor="light1" w:sz="4" w:space="0"/>
          <w:right w:val="single" w:color="000000" w:themeColor="light1" w:sz="4" w:space="0"/>
        </w:tcBorders>
        <w:shd w:val="clear" w:color="FFFFFF" w:fill="8EABDB" w:themeFill="accent5" w:themeFillTint="9a"/>
      </w:tcPr>
    </w:tblStylePr>
    <w:tblStylePr w:type="band2Horz">
      <w:tblPr/>
      <w:tcPr>
        <w:tcBorders>
          <w:top w:val="single" w:color="000000" w:themeColor="light1" w:sz="4" w:space="0"/>
          <w:bottom w:val="single" w:color="000000" w:themeColor="light1" w:sz="4" w:space="0"/>
        </w:tcBorders>
        <w:shd w:val="clear" w:color="FFFFFF" w:fill="8EABDB"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8EABDB"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833">
    <w:name w:val="List Table 5 Dark - Accent 6"/>
    <w:basedOn w:val="866"/>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AD08F" w:themeFill="accent6" w:themeFillTint="98"/>
      </w:tcPr>
    </w:tblStylePr>
    <w:tblStylePr w:type="band1Vert">
      <w:tblPr/>
      <w:tcPr>
        <w:tcBorders>
          <w:left w:val="single" w:color="000000" w:themeColor="light1" w:sz="4" w:space="0"/>
          <w:right w:val="single" w:color="000000" w:themeColor="light1" w:sz="4" w:space="0"/>
        </w:tcBorders>
        <w:shd w:val="clear" w:color="FFFFFF" w:fill="AAD08F" w:themeFill="accent6" w:themeFillTint="98"/>
      </w:tcPr>
    </w:tblStylePr>
    <w:tblStylePr w:type="band2Horz">
      <w:tblPr/>
      <w:tcPr>
        <w:tcBorders>
          <w:top w:val="single" w:color="000000" w:themeColor="light1" w:sz="4" w:space="0"/>
          <w:bottom w:val="single" w:color="000000" w:themeColor="light1" w:sz="4" w:space="0"/>
        </w:tcBorders>
        <w:shd w:val="clear" w:color="FFFFFF" w:fill="AAD0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AAD0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834">
    <w:name w:val="List Table 6 Colorful"/>
    <w:basedOn w:val="866"/>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835">
    <w:name w:val="List Table 6 Colorful - Accent 1"/>
    <w:basedOn w:val="866"/>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5E6F4" w:themeFill="accent1" w:themeFillTint="40"/>
      </w:tcPr>
    </w:tblStylePr>
    <w:tblStylePr w:type="band1Vert">
      <w:tblPr/>
      <w:tcPr>
        <w:shd w:val="clear" w:color="FFFFFF" w:fill="D5E6F4"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836">
    <w:name w:val="List Table 6 Colorful - Accent 2"/>
    <w:basedOn w:val="866"/>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837">
    <w:name w:val="List Table 6 Colorful - Accent 3"/>
    <w:basedOn w:val="866"/>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838">
    <w:name w:val="List Table 6 Colorful - Accent 4"/>
    <w:basedOn w:val="866"/>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839">
    <w:name w:val="List Table 6 Colorful - Accent 5"/>
    <w:basedOn w:val="866"/>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CFDCF0" w:themeFill="accent5" w:themeFillTint="40"/>
      </w:tcPr>
    </w:tblStylePr>
    <w:tblStylePr w:type="band1Vert">
      <w:tblPr/>
      <w:tcPr>
        <w:shd w:val="clear" w:color="FFFFFF" w:fill="CFDC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840">
    <w:name w:val="List Table 6 Colorful - Accent 6"/>
    <w:basedOn w:val="866"/>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841">
    <w:name w:val="List Table 7 Colorful"/>
    <w:basedOn w:val="866"/>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themeColor="text1" w:themeTint="80" w:themeShade="95"/>
        <w:sz w:val="22"/>
      </w:rPr>
      <w:tblPr/>
    </w:tblStylePr>
  </w:style>
  <w:style w:type="table" w:styleId="842">
    <w:name w:val="List Table 7 Colorful - Accent 1"/>
    <w:basedOn w:val="866"/>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5E6F4" w:themeFill="accent1" w:themeFillTint="40"/>
      </w:tcPr>
    </w:tblStylePr>
    <w:tblStylePr w:type="band1Vert">
      <w:tblPr/>
      <w:tcPr>
        <w:shd w:val="clear" w:color="FFFFFF" w:fill="D5E6F4"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1" w:themeShade="95"/>
        <w:sz w:val="22"/>
      </w:rPr>
      <w:tblPr/>
    </w:tblStylePr>
  </w:style>
  <w:style w:type="table" w:styleId="843">
    <w:name w:val="List Table 7 Colorful - Accent 2"/>
    <w:basedOn w:val="866"/>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2" w:themeTint="97" w:themeShade="95"/>
        <w:sz w:val="22"/>
      </w:rPr>
      <w:tblPr/>
    </w:tblStylePr>
  </w:style>
  <w:style w:type="table" w:styleId="844">
    <w:name w:val="List Table 7 Colorful - Accent 3"/>
    <w:basedOn w:val="866"/>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3" w:themeTint="98" w:themeShade="95"/>
        <w:sz w:val="22"/>
      </w:rPr>
      <w:tblPr/>
    </w:tblStylePr>
  </w:style>
  <w:style w:type="table" w:styleId="845">
    <w:name w:val="List Table 7 Colorful - Accent 4"/>
    <w:basedOn w:val="866"/>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4" w:themeTint="9a" w:themeShade="95"/>
        <w:sz w:val="22"/>
      </w:rPr>
      <w:tblPr/>
    </w:tblStylePr>
  </w:style>
  <w:style w:type="table" w:styleId="846">
    <w:name w:val="List Table 7 Colorful - Accent 5"/>
    <w:basedOn w:val="866"/>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CFDCF0" w:themeFill="accent5" w:themeFillTint="40"/>
      </w:tcPr>
    </w:tblStylePr>
    <w:tblStylePr w:type="band1Vert">
      <w:tblPr/>
      <w:tcPr>
        <w:shd w:val="clear" w:color="FFFFFF" w:fill="CFDC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5" w:themeTint="9a" w:themeShade="95"/>
        <w:sz w:val="22"/>
      </w:rPr>
      <w:tblPr/>
    </w:tblStylePr>
  </w:style>
  <w:style w:type="table" w:styleId="847">
    <w:name w:val="List Table 7 Colorful - Accent 6"/>
    <w:basedOn w:val="866"/>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themeColor="accent6" w:themeTint="98" w:themeShade="95"/>
        <w:sz w:val="22"/>
      </w:rPr>
      <w:tblPr/>
    </w:tblStylePr>
  </w:style>
  <w:style w:type="table" w:styleId="848">
    <w:name w:val="Lined - Accent"/>
    <w:basedOn w:val="866"/>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849">
    <w:name w:val="Bordered &amp; Lined - Accent"/>
    <w:basedOn w:val="866"/>
    <w:uiPriority w:val="99"/>
    <w:pPr>
      <w:spacing w:after="0" w:line="240" w:lineRule="auto"/>
    </w:pPr>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default="1" w:styleId="866">
    <w:name w:val="Normal Table"/>
    <w:uiPriority w:val="99"/>
    <w:semiHidden/>
    <w:unhideWhenUsed/>
    <w:tblPr>
      <w:tblCellMar>
        <w:left w:w="108" w:type="dxa"/>
        <w:top w:w="0" w:type="dxa"/>
        <w:right w:w="108" w:type="dxa"/>
        <w:bottom w:w="0" w:type="dxa"/>
      </w:tblCellMar>
    </w:tblPr>
  </w:style>
  <w:style w:type="table" w:customStyle="1" w:styleId="887">
    <w:name w:val="Lined"/>
    <w:basedOn w:val="866"/>
    <w:uiPriority w:val="99"/>
    <w:pPr>
      <w:spacing w:after="0" w:line="240" w:lineRule="auto"/>
    </w:pPr>
    <w:rPr>
      <w:lang w:eastAsia="ru-RU"/>
      <w:sz w:val="20"/>
      <w:szCs w:val="20"/>
    </w:rPr>
    <w:tblPr>
      <w:tblStyleRowBandSize w:val="1"/>
      <w:tblStyleColBandSize w:val="1"/>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F2F2F2"/>
      </w:tcPr>
    </w:tblStylePr>
    <w:tblStylePr w:type="band2Vert">
      <w:rPr>
        <w:sz w:val="22"/>
      </w:rPr>
      <w:tblPr/>
      <w:tcPr>
        <w:shd w:val="clear" w:color="auto" w:fill="F2F2F2"/>
      </w:tcPr>
    </w:tblStylePr>
    <w:tblStylePr w:type="firstCol">
      <w:rPr>
        <w:sz w:val="22"/>
      </w:rPr>
      <w:tblPr/>
      <w:tcPr>
        <w:shd w:val="clear" w:color="auto" w:fill="7F7F7F"/>
      </w:tcPr>
    </w:tblStylePr>
    <w:tblStylePr w:type="firstRow">
      <w:rPr>
        <w:sz w:val="22"/>
      </w:rPr>
      <w:tblPr/>
      <w:tcPr>
        <w:shd w:val="clear" w:color="auto" w:fill="7F7F7F"/>
      </w:tcPr>
    </w:tblStylePr>
    <w:tblStylePr w:type="lastCol">
      <w:rPr>
        <w:sz w:val="22"/>
      </w:rPr>
      <w:tblPr/>
      <w:tcPr>
        <w:shd w:val="clear" w:color="auto" w:fill="7F7F7F"/>
      </w:tcPr>
    </w:tblStylePr>
    <w:tblStylePr w:type="lastRow">
      <w:rPr>
        <w:sz w:val="22"/>
      </w:rPr>
      <w:tblPr/>
      <w:tcPr>
        <w:shd w:val="clear" w:color="auto" w:fill="7F7F7F"/>
      </w:tcPr>
    </w:tblStylePr>
  </w:style>
  <w:style w:type="table" w:customStyle="1" w:styleId="888">
    <w:name w:val="Lined - Accent 1"/>
    <w:basedOn w:val="866"/>
    <w:uiPriority w:val="99"/>
    <w:pPr>
      <w:spacing w:after="0" w:line="240" w:lineRule="auto"/>
    </w:pPr>
    <w:rPr>
      <w:lang w:eastAsia="ru-RU"/>
      <w:sz w:val="20"/>
      <w:szCs w:val="20"/>
    </w:rPr>
    <w:tblPr>
      <w:tblStyleRowBandSize w:val="1"/>
      <w:tblStyleColBandSize w:val="1"/>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C6D9F1"/>
      </w:tcPr>
    </w:tblStylePr>
    <w:tblStylePr w:type="band2Vert">
      <w:rPr>
        <w:sz w:val="22"/>
      </w:rPr>
      <w:tblPr/>
      <w:tcPr>
        <w:shd w:val="clear" w:color="auto" w:fill="C6D9F1"/>
      </w:tcPr>
    </w:tblStylePr>
    <w:tblStylePr w:type="firstCol">
      <w:rPr>
        <w:sz w:val="22"/>
      </w:rPr>
      <w:tblPr/>
      <w:tcPr>
        <w:shd w:val="clear" w:color="auto" w:fill="548DD4"/>
      </w:tcPr>
    </w:tblStylePr>
    <w:tblStylePr w:type="firstRow">
      <w:rPr>
        <w:sz w:val="22"/>
      </w:rPr>
      <w:tblPr/>
      <w:tcPr>
        <w:shd w:val="clear" w:color="auto" w:fill="548DD4"/>
      </w:tcPr>
    </w:tblStylePr>
    <w:tblStylePr w:type="lastCol">
      <w:rPr>
        <w:sz w:val="22"/>
      </w:rPr>
      <w:tblPr/>
      <w:tcPr>
        <w:shd w:val="clear" w:color="auto" w:fill="548DD4"/>
      </w:tcPr>
    </w:tblStylePr>
    <w:tblStylePr w:type="lastRow">
      <w:rPr>
        <w:sz w:val="22"/>
      </w:rPr>
      <w:tblPr/>
      <w:tcPr>
        <w:shd w:val="clear" w:color="auto" w:fill="548DD4"/>
      </w:tcPr>
    </w:tblStylePr>
  </w:style>
  <w:style w:type="table" w:customStyle="1" w:styleId="889">
    <w:name w:val="Lined - Accent 2"/>
    <w:basedOn w:val="866"/>
    <w:uiPriority w:val="99"/>
    <w:pPr>
      <w:spacing w:after="0" w:line="240" w:lineRule="auto"/>
    </w:pPr>
    <w:rPr>
      <w:lang w:eastAsia="ru-RU"/>
      <w:sz w:val="20"/>
      <w:szCs w:val="20"/>
    </w:rPr>
    <w:tblPr>
      <w:tblStyleRowBandSize w:val="1"/>
      <w:tblStyleColBandSize w:val="1"/>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F2DBDB"/>
      </w:tcPr>
    </w:tblStylePr>
    <w:tblStylePr w:type="band2Vert">
      <w:rPr>
        <w:sz w:val="22"/>
      </w:rPr>
      <w:tblPr/>
      <w:tcPr>
        <w:shd w:val="clear" w:color="auto" w:fill="F2DBDB"/>
      </w:tcPr>
    </w:tblStylePr>
    <w:tblStylePr w:type="firstCol">
      <w:rPr>
        <w:sz w:val="22"/>
      </w:rPr>
      <w:tblPr/>
      <w:tcPr>
        <w:shd w:val="clear" w:color="auto" w:fill="D99594"/>
      </w:tcPr>
    </w:tblStylePr>
    <w:tblStylePr w:type="firstRow">
      <w:rPr>
        <w:sz w:val="22"/>
      </w:rPr>
      <w:tblPr/>
      <w:tcPr>
        <w:shd w:val="clear" w:color="auto" w:fill="D99594"/>
      </w:tcPr>
    </w:tblStylePr>
    <w:tblStylePr w:type="lastCol">
      <w:rPr>
        <w:sz w:val="22"/>
      </w:rPr>
      <w:tblPr/>
      <w:tcPr>
        <w:shd w:val="clear" w:color="auto" w:fill="D99594"/>
      </w:tcPr>
    </w:tblStylePr>
    <w:tblStylePr w:type="lastRow">
      <w:rPr>
        <w:sz w:val="22"/>
      </w:rPr>
      <w:tblPr/>
      <w:tcPr>
        <w:shd w:val="clear" w:color="auto" w:fill="D99594"/>
      </w:tcPr>
    </w:tblStylePr>
  </w:style>
  <w:style w:type="table" w:customStyle="1" w:styleId="890">
    <w:name w:val="Lined - Accent 3"/>
    <w:basedOn w:val="866"/>
    <w:uiPriority w:val="99"/>
    <w:pPr>
      <w:spacing w:after="0" w:line="240" w:lineRule="auto"/>
    </w:pPr>
    <w:rPr>
      <w:lang w:eastAsia="ru-RU"/>
      <w:sz w:val="20"/>
      <w:szCs w:val="20"/>
    </w:rPr>
    <w:tblPr>
      <w:tblStyleRowBandSize w:val="1"/>
      <w:tblStyleColBandSize w:val="1"/>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EAF1DD"/>
      </w:tcPr>
    </w:tblStylePr>
    <w:tblStylePr w:type="band2Vert">
      <w:rPr>
        <w:sz w:val="22"/>
      </w:rPr>
      <w:tblPr/>
      <w:tcPr>
        <w:shd w:val="clear" w:color="auto" w:fill="EAF1DD"/>
      </w:tcPr>
    </w:tblStylePr>
    <w:tblStylePr w:type="firstCol">
      <w:rPr>
        <w:sz w:val="22"/>
      </w:rPr>
      <w:tblPr/>
      <w:tcPr>
        <w:shd w:val="clear" w:color="auto" w:fill="9BB559"/>
      </w:tcPr>
    </w:tblStylePr>
    <w:tblStylePr w:type="firstRow">
      <w:rPr>
        <w:sz w:val="22"/>
      </w:rPr>
      <w:tblPr/>
      <w:tcPr>
        <w:shd w:val="clear" w:color="auto" w:fill="9BB559"/>
      </w:tcPr>
    </w:tblStylePr>
    <w:tblStylePr w:type="lastCol">
      <w:rPr>
        <w:sz w:val="22"/>
      </w:rPr>
      <w:tblPr/>
      <w:tcPr>
        <w:shd w:val="clear" w:color="auto" w:fill="9BB559"/>
      </w:tcPr>
    </w:tblStylePr>
    <w:tblStylePr w:type="lastRow">
      <w:rPr>
        <w:sz w:val="22"/>
      </w:rPr>
      <w:tblPr/>
      <w:tcPr>
        <w:shd w:val="clear" w:color="auto" w:fill="9BB559"/>
      </w:tcPr>
    </w:tblStylePr>
  </w:style>
  <w:style w:type="table" w:customStyle="1" w:styleId="891">
    <w:name w:val="Lined - Accent 4"/>
    <w:basedOn w:val="866"/>
    <w:uiPriority w:val="99"/>
    <w:pPr>
      <w:spacing w:after="0" w:line="240" w:lineRule="auto"/>
    </w:pPr>
    <w:rPr>
      <w:lang w:eastAsia="ru-RU"/>
      <w:sz w:val="20"/>
      <w:szCs w:val="20"/>
    </w:rPr>
    <w:tblPr>
      <w:tblStyleRowBandSize w:val="1"/>
      <w:tblStyleColBandSize w:val="1"/>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E5DFEC"/>
      </w:tcPr>
    </w:tblStylePr>
    <w:tblStylePr w:type="band2Vert">
      <w:rPr>
        <w:sz w:val="22"/>
      </w:rPr>
      <w:tblPr/>
      <w:tcPr>
        <w:shd w:val="clear" w:color="auto" w:fill="E5DFEC"/>
      </w:tcPr>
    </w:tblStylePr>
    <w:tblStylePr w:type="firstCol">
      <w:rPr>
        <w:sz w:val="22"/>
      </w:rPr>
      <w:tblPr/>
      <w:tcPr>
        <w:shd w:val="clear" w:color="auto" w:fill="B2A1C7"/>
      </w:tcPr>
    </w:tblStylePr>
    <w:tblStylePr w:type="firstRow">
      <w:rPr>
        <w:sz w:val="22"/>
      </w:rPr>
      <w:tblPr/>
      <w:tcPr>
        <w:shd w:val="clear" w:color="auto" w:fill="B2A1C7"/>
      </w:tcPr>
    </w:tblStylePr>
    <w:tblStylePr w:type="lastCol">
      <w:rPr>
        <w:sz w:val="22"/>
      </w:rPr>
      <w:tblPr/>
      <w:tcPr>
        <w:shd w:val="clear" w:color="auto" w:fill="B2A1C7"/>
      </w:tcPr>
    </w:tblStylePr>
    <w:tblStylePr w:type="lastRow">
      <w:rPr>
        <w:sz w:val="22"/>
      </w:rPr>
      <w:tblPr/>
      <w:tcPr>
        <w:shd w:val="clear" w:color="auto" w:fill="B2A1C7"/>
      </w:tcPr>
    </w:tblStylePr>
  </w:style>
  <w:style w:type="table" w:customStyle="1" w:styleId="892">
    <w:name w:val="Lined - Accent 5"/>
    <w:basedOn w:val="866"/>
    <w:uiPriority w:val="99"/>
    <w:pPr>
      <w:spacing w:after="0" w:line="240" w:lineRule="auto"/>
    </w:pPr>
    <w:rPr>
      <w:lang w:eastAsia="ru-RU"/>
      <w:sz w:val="20"/>
      <w:szCs w:val="20"/>
    </w:rPr>
    <w:tblPr>
      <w:tblStyleRowBandSize w:val="1"/>
      <w:tblStyleColBandSize w:val="1"/>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DAEEF3"/>
      </w:tcPr>
    </w:tblStylePr>
    <w:tblStylePr w:type="band2Vert">
      <w:rPr>
        <w:sz w:val="22"/>
      </w:rPr>
      <w:tblPr/>
      <w:tcPr>
        <w:shd w:val="clear" w:color="auto" w:fill="DAEEF3"/>
      </w:tcPr>
    </w:tblStylePr>
    <w:tblStylePr w:type="firstCol">
      <w:rPr>
        <w:sz w:val="22"/>
      </w:rPr>
      <w:tblPr/>
      <w:tcPr>
        <w:shd w:val="clear" w:color="auto" w:fill="4BACC6"/>
      </w:tcPr>
    </w:tblStylePr>
    <w:tblStylePr w:type="firstRow">
      <w:rPr>
        <w:sz w:val="22"/>
      </w:rPr>
      <w:tblPr/>
      <w:tcPr>
        <w:shd w:val="clear" w:color="auto" w:fill="4BACC6"/>
      </w:tcPr>
    </w:tblStylePr>
    <w:tblStylePr w:type="lastCol">
      <w:rPr>
        <w:sz w:val="22"/>
      </w:rPr>
      <w:tblPr/>
      <w:tcPr>
        <w:shd w:val="clear" w:color="auto" w:fill="4BACC6"/>
      </w:tcPr>
    </w:tblStylePr>
    <w:tblStylePr w:type="lastRow">
      <w:rPr>
        <w:sz w:val="22"/>
      </w:rPr>
      <w:tblPr/>
      <w:tcPr>
        <w:shd w:val="clear" w:color="auto" w:fill="4BACC6"/>
      </w:tcPr>
    </w:tblStylePr>
  </w:style>
  <w:style w:type="table" w:customStyle="1" w:styleId="893">
    <w:name w:val="Lined - Accent 6"/>
    <w:basedOn w:val="866"/>
    <w:uiPriority w:val="99"/>
    <w:pPr>
      <w:spacing w:after="0" w:line="240" w:lineRule="auto"/>
    </w:pPr>
    <w:rPr>
      <w:lang w:eastAsia="ru-RU"/>
      <w:sz w:val="20"/>
      <w:szCs w:val="20"/>
    </w:rPr>
    <w:tblPr>
      <w:tblStyleRowBandSize w:val="1"/>
      <w:tblStyleColBandSize w:val="1"/>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FDE9D9"/>
      </w:tcPr>
    </w:tblStylePr>
    <w:tblStylePr w:type="band2Vert">
      <w:rPr>
        <w:sz w:val="22"/>
      </w:rPr>
      <w:tblPr/>
      <w:tcPr>
        <w:shd w:val="clear" w:color="auto" w:fill="FDE9D9"/>
      </w:tcPr>
    </w:tblStylePr>
    <w:tblStylePr w:type="firstCol">
      <w:rPr>
        <w:sz w:val="22"/>
      </w:rPr>
      <w:tblPr/>
      <w:tcPr>
        <w:shd w:val="clear" w:color="auto" w:fill="F79646"/>
      </w:tcPr>
    </w:tblStylePr>
    <w:tblStylePr w:type="firstRow">
      <w:rPr>
        <w:sz w:val="22"/>
      </w:rPr>
      <w:tblPr/>
      <w:tcPr>
        <w:shd w:val="clear" w:color="auto" w:fill="F79646"/>
      </w:tcPr>
    </w:tblStylePr>
    <w:tblStylePr w:type="lastCol">
      <w:rPr>
        <w:sz w:val="22"/>
      </w:rPr>
      <w:tblPr/>
      <w:tcPr>
        <w:shd w:val="clear" w:color="auto" w:fill="F79646"/>
      </w:tcPr>
    </w:tblStylePr>
    <w:tblStylePr w:type="lastRow">
      <w:rPr>
        <w:sz w:val="22"/>
      </w:rPr>
      <w:tblPr/>
      <w:tcPr>
        <w:shd w:val="clear" w:color="auto" w:fill="F79646"/>
      </w:tcPr>
    </w:tblStylePr>
  </w:style>
  <w:style w:type="table" w:customStyle="1" w:styleId="894">
    <w:name w:val="Bordered"/>
    <w:basedOn w:val="866"/>
    <w:uiPriority w:val="99"/>
    <w:pPr>
      <w:spacing w:after="0" w:line="240" w:lineRule="auto"/>
    </w:p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170" w:type="dxa"/>
        <w:top w:w="96" w:type="dxa"/>
        <w:right w:w="170" w:type="dxa"/>
        <w:bottom w:w="96" w:type="dxa"/>
      </w:tblCellMar>
    </w:tblPr>
    <w:tblStylePr w:type="band1Horz">
      <w:rPr>
        <w:sz w:val="22"/>
      </w:rPr>
      <w:tblPr/>
      <w:tcPr>
        <w:tcBorders>
          <w:top w:val="single" w:color="D9D9D9" w:sz="4" w:space="0"/>
          <w:left w:val="single" w:color="D9D9D9" w:sz="4" w:space="0"/>
          <w:bottom w:val="single" w:color="D9D9D9" w:sz="4" w:space="0"/>
          <w:right w:val="single" w:color="D9D9D9" w:sz="4" w:space="0"/>
        </w:tcBorders>
      </w:tcPr>
    </w:tblStylePr>
    <w:tblStylePr w:type="firstCol">
      <w:rPr>
        <w:sz w:val="22"/>
      </w:rPr>
      <w:tblPr/>
      <w:tcPr>
        <w:tcBorders>
          <w:right w:val="single" w:color="7F7F7F" w:sz="12" w:space="0"/>
        </w:tcBorders>
      </w:tcPr>
    </w:tblStylePr>
    <w:tblStylePr w:type="firstRow">
      <w:rPr>
        <w:sz w:val="22"/>
      </w:rPr>
      <w:tblPr/>
      <w:tcPr>
        <w:tcBorders>
          <w:bottom w:val="single" w:color="7F7F7F" w:sz="12" w:space="0"/>
        </w:tcBorders>
      </w:tcPr>
    </w:tblStylePr>
    <w:tblStylePr w:type="lastCol">
      <w:rPr>
        <w:sz w:val="22"/>
      </w:rPr>
      <w:tblPr/>
      <w:tcPr>
        <w:tcBorders>
          <w:left w:val="single" w:color="7F7F7F" w:sz="12" w:space="0"/>
        </w:tcBorders>
      </w:tcPr>
    </w:tblStylePr>
    <w:tblStylePr w:type="lastRow">
      <w:rPr>
        <w:sz w:val="22"/>
      </w:rPr>
      <w:tblPr/>
      <w:tcPr>
        <w:tcBorders>
          <w:top w:val="single" w:color="7F7F7F" w:sz="12" w:space="0"/>
        </w:tcBorders>
      </w:tcPr>
    </w:tblStylePr>
  </w:style>
  <w:style w:type="table" w:customStyle="1" w:styleId="895">
    <w:name w:val="Bordered - Accent 1"/>
    <w:basedOn w:val="866"/>
    <w:uiPriority w:val="99"/>
    <w:pPr>
      <w:spacing w:after="0" w:line="240" w:lineRule="auto"/>
    </w:pPr>
    <w:tblPr>
      <w:tblStyleRowBandSize w:val="1"/>
      <w:tblStyleColBandSize w:val="1"/>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CellMar>
        <w:left w:w="170" w:type="dxa"/>
        <w:top w:w="96" w:type="dxa"/>
        <w:right w:w="170" w:type="dxa"/>
        <w:bottom w:w="96" w:type="dxa"/>
      </w:tblCellMar>
    </w:tblPr>
    <w:tblStylePr w:type="band1Horz">
      <w:rPr>
        <w:sz w:val="22"/>
      </w:rPr>
      <w:tblPr/>
      <w:tcPr>
        <w:tcBorders>
          <w:top w:val="single" w:color="B8CCE4" w:sz="4" w:space="0"/>
          <w:left w:val="single" w:color="B8CCE4" w:sz="4" w:space="0"/>
          <w:bottom w:val="single" w:color="B8CCE4" w:sz="4" w:space="0"/>
          <w:right w:val="single" w:color="B8CCE4" w:sz="4" w:space="0"/>
        </w:tcBorders>
      </w:tcPr>
    </w:tblStylePr>
    <w:tblStylePr w:type="firstCol">
      <w:rPr>
        <w:sz w:val="22"/>
      </w:rPr>
      <w:tblPr/>
      <w:tcPr>
        <w:tcBorders>
          <w:right w:val="single" w:color="4F81BD" w:sz="12" w:space="0"/>
        </w:tcBorders>
      </w:tcPr>
    </w:tblStylePr>
    <w:tblStylePr w:type="firstRow">
      <w:rPr>
        <w:sz w:val="22"/>
      </w:rPr>
      <w:tblPr/>
      <w:tcPr>
        <w:tcBorders>
          <w:bottom w:val="single" w:color="4F81BD" w:sz="12" w:space="0"/>
        </w:tcBorders>
      </w:tcPr>
    </w:tblStylePr>
    <w:tblStylePr w:type="lastCol">
      <w:rPr>
        <w:sz w:val="22"/>
      </w:rPr>
      <w:tblPr/>
      <w:tcPr>
        <w:tcBorders>
          <w:left w:val="single" w:color="4F81BD" w:sz="12" w:space="0"/>
        </w:tcBorders>
      </w:tcPr>
    </w:tblStylePr>
    <w:tblStylePr w:type="lastRow">
      <w:rPr>
        <w:sz w:val="22"/>
      </w:rPr>
      <w:tblPr/>
      <w:tcPr>
        <w:tcBorders>
          <w:top w:val="single" w:color="4F81BD" w:sz="12" w:space="0"/>
        </w:tcBorders>
      </w:tcPr>
    </w:tblStylePr>
  </w:style>
  <w:style w:type="table" w:customStyle="1" w:styleId="896">
    <w:name w:val="Bordered - Accent 2"/>
    <w:basedOn w:val="866"/>
    <w:uiPriority w:val="99"/>
    <w:pPr>
      <w:spacing w:after="0" w:line="240" w:lineRule="auto"/>
    </w:pPr>
    <w:tblPr>
      <w:tblStyleRowBandSize w:val="1"/>
      <w:tblStyleColBandSize w:val="1"/>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CellMar>
        <w:left w:w="170" w:type="dxa"/>
        <w:top w:w="96" w:type="dxa"/>
        <w:right w:w="170" w:type="dxa"/>
        <w:bottom w:w="96" w:type="dxa"/>
      </w:tblCellMar>
    </w:tblPr>
    <w:tblStylePr w:type="band1Horz">
      <w:rPr>
        <w:sz w:val="22"/>
      </w:rPr>
      <w:tblPr/>
      <w:tcPr>
        <w:tcBorders>
          <w:top w:val="single" w:color="E5B8B7" w:sz="4" w:space="0"/>
          <w:left w:val="single" w:color="E5B8B7" w:sz="4" w:space="0"/>
          <w:bottom w:val="single" w:color="E5B8B7" w:sz="4" w:space="0"/>
          <w:right w:val="single" w:color="E5B8B7" w:sz="4" w:space="0"/>
        </w:tcBorders>
      </w:tcPr>
    </w:tblStylePr>
    <w:tblStylePr w:type="firstCol">
      <w:rPr>
        <w:sz w:val="22"/>
      </w:rPr>
      <w:tblPr/>
      <w:tcPr>
        <w:tcBorders>
          <w:right w:val="single" w:color="D99594" w:sz="12" w:space="0"/>
        </w:tcBorders>
      </w:tcPr>
    </w:tblStylePr>
    <w:tblStylePr w:type="firstRow">
      <w:rPr>
        <w:sz w:val="22"/>
      </w:rPr>
      <w:tblPr/>
      <w:tcPr>
        <w:tcBorders>
          <w:bottom w:val="single" w:color="D99594" w:sz="12" w:space="0"/>
        </w:tcBorders>
      </w:tcPr>
    </w:tblStylePr>
    <w:tblStylePr w:type="lastCol">
      <w:rPr>
        <w:sz w:val="22"/>
      </w:rPr>
      <w:tblPr/>
      <w:tcPr>
        <w:tcBorders>
          <w:left w:val="single" w:color="D99594" w:sz="12" w:space="0"/>
        </w:tcBorders>
      </w:tcPr>
    </w:tblStylePr>
    <w:tblStylePr w:type="lastRow">
      <w:rPr>
        <w:sz w:val="22"/>
      </w:rPr>
      <w:tblPr/>
      <w:tcPr>
        <w:tcBorders>
          <w:top w:val="single" w:color="D99594" w:sz="12" w:space="0"/>
        </w:tcBorders>
      </w:tcPr>
    </w:tblStylePr>
  </w:style>
  <w:style w:type="table" w:customStyle="1" w:styleId="897">
    <w:name w:val="Bordered - Accent 3"/>
    <w:basedOn w:val="866"/>
    <w:uiPriority w:val="99"/>
    <w:pPr>
      <w:spacing w:after="0" w:line="240" w:lineRule="auto"/>
    </w:pPr>
    <w:tblPr>
      <w:tblStyleRowBandSize w:val="1"/>
      <w:tblStyleColBandSize w:val="1"/>
      <w:tblBorders>
        <w:top w:val="single" w:color="D6E3BC" w:sz="4" w:space="0"/>
        <w:left w:val="single" w:color="D6E3BC" w:sz="4" w:space="0"/>
        <w:bottom w:val="single" w:color="D6E3BC" w:sz="4" w:space="0"/>
        <w:right w:val="single" w:color="D6E3BC" w:sz="4" w:space="0"/>
        <w:insideH w:val="single" w:color="D6E3BC" w:sz="4" w:space="0"/>
        <w:insideV w:val="single" w:color="D6E3BC" w:sz="4" w:space="0"/>
      </w:tblBorders>
      <w:tblCellMar>
        <w:left w:w="170" w:type="dxa"/>
        <w:top w:w="96" w:type="dxa"/>
        <w:right w:w="170" w:type="dxa"/>
        <w:bottom w:w="96" w:type="dxa"/>
      </w:tblCellMar>
    </w:tblPr>
    <w:tblStylePr w:type="band1Horz">
      <w:rPr>
        <w:sz w:val="22"/>
      </w:rPr>
      <w:tblPr/>
      <w:tcPr>
        <w:tcBorders>
          <w:top w:val="single" w:color="D6E3BC" w:sz="4" w:space="0"/>
          <w:left w:val="single" w:color="D6E3BC" w:sz="4" w:space="0"/>
          <w:bottom w:val="single" w:color="D6E3BC" w:sz="4" w:space="0"/>
          <w:right w:val="single" w:color="D6E3BC" w:sz="4" w:space="0"/>
        </w:tcBorders>
      </w:tcPr>
    </w:tblStylePr>
    <w:tblStylePr w:type="firstCol">
      <w:rPr>
        <w:sz w:val="22"/>
      </w:rPr>
      <w:tblPr/>
      <w:tcPr>
        <w:tcBorders>
          <w:right w:val="single" w:color="C2D69B" w:sz="12" w:space="0"/>
        </w:tcBorders>
      </w:tcPr>
    </w:tblStylePr>
    <w:tblStylePr w:type="firstRow">
      <w:rPr>
        <w:sz w:val="22"/>
      </w:rPr>
      <w:tblPr/>
      <w:tcPr>
        <w:tcBorders>
          <w:bottom w:val="single" w:color="C2D69B" w:sz="12" w:space="0"/>
        </w:tcBorders>
      </w:tcPr>
    </w:tblStylePr>
    <w:tblStylePr w:type="lastCol">
      <w:rPr>
        <w:sz w:val="22"/>
      </w:rPr>
      <w:tblPr/>
      <w:tcPr>
        <w:tcBorders>
          <w:left w:val="single" w:color="C2D69B" w:sz="12" w:space="0"/>
        </w:tcBorders>
      </w:tcPr>
    </w:tblStylePr>
    <w:tblStylePr w:type="lastRow">
      <w:rPr>
        <w:sz w:val="22"/>
      </w:rPr>
      <w:tblPr/>
      <w:tcPr>
        <w:tcBorders>
          <w:top w:val="single" w:color="C2D69B" w:sz="12" w:space="0"/>
        </w:tcBorders>
      </w:tcPr>
    </w:tblStylePr>
  </w:style>
  <w:style w:type="table" w:customStyle="1" w:styleId="898">
    <w:name w:val="Bordered - Accent 4"/>
    <w:basedOn w:val="866"/>
    <w:uiPriority w:val="99"/>
    <w:pPr>
      <w:spacing w:after="0" w:line="240" w:lineRule="auto"/>
    </w:pPr>
    <w:tblPr>
      <w:tblStyleRowBandSize w:val="1"/>
      <w:tblStyleColBandSize w:val="1"/>
      <w:tblBorders>
        <w:top w:val="single" w:color="CCC0D9" w:sz="4" w:space="0"/>
        <w:left w:val="single" w:color="CCC0D9" w:sz="4" w:space="0"/>
        <w:bottom w:val="single" w:color="CCC0D9" w:sz="4" w:space="0"/>
        <w:right w:val="single" w:color="CCC0D9" w:sz="4" w:space="0"/>
        <w:insideH w:val="single" w:color="CCC0D9" w:sz="4" w:space="0"/>
        <w:insideV w:val="single" w:color="CCC0D9" w:sz="4" w:space="0"/>
      </w:tblBorders>
      <w:tblCellMar>
        <w:left w:w="170" w:type="dxa"/>
        <w:top w:w="96" w:type="dxa"/>
        <w:right w:w="170" w:type="dxa"/>
        <w:bottom w:w="96" w:type="dxa"/>
      </w:tblCellMar>
    </w:tblPr>
    <w:tblStylePr w:type="band1Horz">
      <w:rPr>
        <w:sz w:val="22"/>
      </w:rPr>
      <w:tblPr/>
      <w:tcPr>
        <w:tcBorders>
          <w:top w:val="single" w:color="CCC0D9" w:sz="4" w:space="0"/>
          <w:left w:val="single" w:color="CCC0D9" w:sz="4" w:space="0"/>
          <w:bottom w:val="single" w:color="CCC0D9" w:sz="4" w:space="0"/>
          <w:right w:val="single" w:color="CCC0D9" w:sz="4" w:space="0"/>
        </w:tcBorders>
      </w:tcPr>
    </w:tblStylePr>
    <w:tblStylePr w:type="firstCol">
      <w:rPr>
        <w:sz w:val="22"/>
      </w:rPr>
      <w:tblPr/>
      <w:tcPr>
        <w:tcBorders>
          <w:right w:val="single" w:color="B2A1C7" w:sz="12" w:space="0"/>
        </w:tcBorders>
      </w:tcPr>
    </w:tblStylePr>
    <w:tblStylePr w:type="firstRow">
      <w:rPr>
        <w:sz w:val="22"/>
      </w:rPr>
      <w:tblPr/>
      <w:tcPr>
        <w:tcBorders>
          <w:bottom w:val="single" w:color="B2A1C7" w:sz="12" w:space="0"/>
        </w:tcBorders>
      </w:tcPr>
    </w:tblStylePr>
    <w:tblStylePr w:type="lastCol">
      <w:rPr>
        <w:sz w:val="22"/>
      </w:rPr>
      <w:tblPr/>
      <w:tcPr>
        <w:tcBorders>
          <w:left w:val="single" w:color="B2A1C7" w:sz="12" w:space="0"/>
        </w:tcBorders>
      </w:tcPr>
    </w:tblStylePr>
    <w:tblStylePr w:type="lastRow">
      <w:rPr>
        <w:sz w:val="22"/>
      </w:rPr>
      <w:tblPr/>
      <w:tcPr>
        <w:tcBorders>
          <w:top w:val="single" w:color="B2A1C7" w:sz="12" w:space="0"/>
        </w:tcBorders>
      </w:tcPr>
    </w:tblStylePr>
  </w:style>
  <w:style w:type="table" w:customStyle="1" w:styleId="899">
    <w:name w:val="Bordered - Accent 5"/>
    <w:basedOn w:val="866"/>
    <w:uiPriority w:val="99"/>
    <w:pPr>
      <w:spacing w:after="0" w:line="240" w:lineRule="auto"/>
    </w:p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170" w:type="dxa"/>
        <w:top w:w="96" w:type="dxa"/>
        <w:right w:w="170" w:type="dxa"/>
        <w:bottom w:w="96" w:type="dxa"/>
      </w:tblCellMar>
    </w:tblPr>
    <w:tblStylePr w:type="band1Horz">
      <w:rPr>
        <w:sz w:val="22"/>
      </w:rPr>
      <w:tblPr/>
      <w:tcPr>
        <w:tcBorders>
          <w:top w:val="single" w:color="B6DDE8" w:sz="4" w:space="0"/>
          <w:left w:val="single" w:color="B6DDE8" w:sz="4" w:space="0"/>
          <w:bottom w:val="single" w:color="B6DDE8" w:sz="4" w:space="0"/>
          <w:right w:val="single" w:color="B6DDE8" w:sz="4" w:space="0"/>
        </w:tcBorders>
      </w:tcPr>
    </w:tblStylePr>
    <w:tblStylePr w:type="firstCol">
      <w:rPr>
        <w:sz w:val="22"/>
      </w:rPr>
      <w:tblPr/>
      <w:tcPr>
        <w:tcBorders>
          <w:right w:val="single" w:color="92CDDC" w:sz="12" w:space="0"/>
        </w:tcBorders>
      </w:tcPr>
    </w:tblStylePr>
    <w:tblStylePr w:type="firstRow">
      <w:rPr>
        <w:sz w:val="22"/>
      </w:rPr>
      <w:tblPr/>
      <w:tcPr>
        <w:tcBorders>
          <w:bottom w:val="single" w:color="92CDDC" w:sz="12" w:space="0"/>
        </w:tcBorders>
      </w:tcPr>
    </w:tblStylePr>
    <w:tblStylePr w:type="lastCol">
      <w:rPr>
        <w:sz w:val="22"/>
      </w:rPr>
      <w:tblPr/>
      <w:tcPr>
        <w:tcBorders>
          <w:left w:val="single" w:color="92CDDC" w:sz="12" w:space="0"/>
        </w:tcBorders>
      </w:tcPr>
    </w:tblStylePr>
    <w:tblStylePr w:type="lastRow">
      <w:rPr>
        <w:sz w:val="22"/>
      </w:rPr>
      <w:tblPr/>
      <w:tcPr>
        <w:tcBorders>
          <w:top w:val="single" w:color="92CDDC" w:sz="12" w:space="0"/>
        </w:tcBorders>
      </w:tcPr>
    </w:tblStylePr>
  </w:style>
  <w:style w:type="table" w:customStyle="1" w:styleId="900">
    <w:name w:val="Bordered - Accent 6"/>
    <w:basedOn w:val="866"/>
    <w:uiPriority w:val="99"/>
    <w:pPr>
      <w:spacing w:after="0" w:line="240" w:lineRule="auto"/>
    </w:p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170" w:type="dxa"/>
        <w:top w:w="96" w:type="dxa"/>
        <w:right w:w="170" w:type="dxa"/>
        <w:bottom w:w="96" w:type="dxa"/>
      </w:tblCellMar>
    </w:tblPr>
    <w:tblStylePr w:type="band1Horz">
      <w:rPr>
        <w:sz w:val="22"/>
      </w:rPr>
      <w:tblPr/>
      <w:tcPr>
        <w:tcBorders>
          <w:top w:val="single" w:color="FBD4B4" w:sz="4" w:space="0"/>
          <w:left w:val="single" w:color="FBD4B4" w:sz="4" w:space="0"/>
          <w:bottom w:val="single" w:color="FBD4B4" w:sz="4" w:space="0"/>
          <w:right w:val="single" w:color="FBD4B4" w:sz="4" w:space="0"/>
        </w:tcBorders>
      </w:tcPr>
    </w:tblStylePr>
    <w:tblStylePr w:type="firstCol">
      <w:rPr>
        <w:sz w:val="22"/>
      </w:rPr>
      <w:tblPr/>
      <w:tcPr>
        <w:tcBorders>
          <w:right w:val="single" w:color="FABF8F" w:sz="12" w:space="0"/>
        </w:tcBorders>
      </w:tcPr>
    </w:tblStylePr>
    <w:tblStylePr w:type="firstRow">
      <w:rPr>
        <w:sz w:val="22"/>
      </w:rPr>
      <w:tblPr/>
      <w:tcPr>
        <w:tcBorders>
          <w:bottom w:val="single" w:color="FABF8F" w:sz="12" w:space="0"/>
        </w:tcBorders>
      </w:tcPr>
    </w:tblStylePr>
    <w:tblStylePr w:type="lastCol">
      <w:rPr>
        <w:sz w:val="22"/>
      </w:rPr>
      <w:tblPr/>
      <w:tcPr>
        <w:tcBorders>
          <w:left w:val="single" w:color="FABF8F" w:sz="12" w:space="0"/>
        </w:tcBorders>
      </w:tcPr>
    </w:tblStylePr>
    <w:tblStylePr w:type="lastRow">
      <w:rPr>
        <w:sz w:val="22"/>
      </w:rPr>
      <w:tblPr/>
      <w:tcPr>
        <w:tcBorders>
          <w:top w:val="single" w:color="FABF8F" w:sz="12" w:space="0"/>
        </w:tcBorders>
      </w:tcPr>
    </w:tblStylePr>
  </w:style>
  <w:style w:type="table" w:customStyle="1" w:styleId="901">
    <w:name w:val="Bordered &amp; Lined"/>
    <w:basedOn w:val="866"/>
    <w:uiPriority w:val="99"/>
    <w:pPr>
      <w:spacing w:after="0" w:line="240" w:lineRule="auto"/>
    </w:pPr>
    <w:rPr>
      <w:lang w:eastAsia="ru-RU"/>
      <w:sz w:val="20"/>
      <w:szCs w:val="20"/>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F2F2F2"/>
      </w:tcPr>
    </w:tblStylePr>
    <w:tblStylePr w:type="band2Vert">
      <w:rPr>
        <w:sz w:val="22"/>
      </w:rPr>
      <w:tblPr/>
      <w:tcPr>
        <w:shd w:val="clear" w:color="auto" w:fill="D9D9D9"/>
      </w:tcPr>
    </w:tblStylePr>
    <w:tblStylePr w:type="firstCol">
      <w:rPr>
        <w:sz w:val="22"/>
      </w:rPr>
      <w:tblPr/>
      <w:tcPr>
        <w:shd w:val="clear" w:color="auto" w:fill="7F7F7F"/>
      </w:tcPr>
    </w:tblStylePr>
    <w:tblStylePr w:type="firstRow">
      <w:rPr>
        <w:sz w:val="22"/>
      </w:rPr>
      <w:tblPr/>
      <w:tcPr>
        <w:shd w:val="clear" w:color="auto" w:fill="7F7F7F"/>
      </w:tcPr>
    </w:tblStylePr>
    <w:tblStylePr w:type="lastCol">
      <w:rPr>
        <w:sz w:val="22"/>
      </w:rPr>
      <w:tblPr/>
      <w:tcPr>
        <w:shd w:val="clear" w:color="auto" w:fill="7F7F7F"/>
      </w:tcPr>
    </w:tblStylePr>
    <w:tblStylePr w:type="lastRow">
      <w:rPr>
        <w:sz w:val="22"/>
      </w:rPr>
      <w:tblPr/>
      <w:tcPr>
        <w:shd w:val="clear" w:color="auto" w:fill="7F7F7F"/>
      </w:tcPr>
    </w:tblStylePr>
  </w:style>
  <w:style w:type="table" w:customStyle="1" w:styleId="902">
    <w:name w:val="Bordered &amp; Lined - Accent 1"/>
    <w:basedOn w:val="866"/>
    <w:uiPriority w:val="99"/>
    <w:pPr>
      <w:spacing w:after="0" w:line="240" w:lineRule="auto"/>
    </w:pPr>
    <w:rPr>
      <w:lang w:eastAsia="ru-RU"/>
      <w:sz w:val="20"/>
      <w:szCs w:val="20"/>
    </w:rPr>
    <w:tblPr>
      <w:tblStyleRowBandSize w:val="1"/>
      <w:tblStyleColBandSize w:val="1"/>
      <w:tblBorders>
        <w:top w:val="single" w:color="1F497D" w:sz="4" w:space="0"/>
        <w:left w:val="single" w:color="1F497D" w:sz="4" w:space="0"/>
        <w:bottom w:val="single" w:color="1F497D" w:sz="4" w:space="0"/>
        <w:right w:val="single" w:color="1F497D" w:sz="4" w:space="0"/>
        <w:insideH w:val="single" w:color="1F497D" w:sz="4" w:space="0"/>
        <w:insideV w:val="single" w:color="1F497D" w:sz="4" w:space="0"/>
      </w:tblBorders>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C6D9F1"/>
      </w:tcPr>
    </w:tblStylePr>
    <w:tblStylePr w:type="band2Vert">
      <w:rPr>
        <w:sz w:val="22"/>
      </w:rPr>
      <w:tblPr/>
      <w:tcPr>
        <w:shd w:val="clear" w:color="auto" w:fill="C6D9F1"/>
      </w:tcPr>
    </w:tblStylePr>
    <w:tblStylePr w:type="firstCol">
      <w:rPr>
        <w:sz w:val="22"/>
      </w:rPr>
      <w:tblPr/>
      <w:tcPr>
        <w:shd w:val="clear" w:color="auto" w:fill="548DD4"/>
      </w:tcPr>
    </w:tblStylePr>
    <w:tblStylePr w:type="firstRow">
      <w:rPr>
        <w:sz w:val="22"/>
      </w:rPr>
      <w:tblPr/>
      <w:tcPr>
        <w:shd w:val="clear" w:color="auto" w:fill="548DD4"/>
      </w:tcPr>
    </w:tblStylePr>
    <w:tblStylePr w:type="lastCol">
      <w:rPr>
        <w:sz w:val="22"/>
      </w:rPr>
      <w:tblPr/>
      <w:tcPr>
        <w:shd w:val="clear" w:color="auto" w:fill="548DD4"/>
      </w:tcPr>
    </w:tblStylePr>
    <w:tblStylePr w:type="lastRow">
      <w:rPr>
        <w:sz w:val="22"/>
      </w:rPr>
      <w:tblPr/>
      <w:tcPr>
        <w:shd w:val="clear" w:color="auto" w:fill="548DD4"/>
      </w:tcPr>
    </w:tblStylePr>
  </w:style>
  <w:style w:type="table" w:customStyle="1" w:styleId="903">
    <w:name w:val="Bordered &amp; Lined - Accent 2"/>
    <w:basedOn w:val="866"/>
    <w:uiPriority w:val="99"/>
    <w:pPr>
      <w:spacing w:after="0" w:line="240" w:lineRule="auto"/>
    </w:pPr>
    <w:rPr>
      <w:lang w:eastAsia="ru-RU"/>
      <w:sz w:val="20"/>
      <w:szCs w:val="20"/>
    </w:rPr>
    <w:tblPr>
      <w:tblStyleRowBandSize w:val="1"/>
      <w:tblStyleColBandSize w:val="1"/>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F2DBDB"/>
      </w:tcPr>
    </w:tblStylePr>
    <w:tblStylePr w:type="band2Vert">
      <w:rPr>
        <w:sz w:val="22"/>
      </w:rPr>
      <w:tblPr/>
      <w:tcPr>
        <w:shd w:val="clear" w:color="auto" w:fill="F2DBDB"/>
      </w:tcPr>
    </w:tblStylePr>
    <w:tblStylePr w:type="firstCol">
      <w:rPr>
        <w:sz w:val="22"/>
      </w:rPr>
      <w:tblPr/>
      <w:tcPr>
        <w:shd w:val="clear" w:color="auto" w:fill="D99594"/>
      </w:tcPr>
    </w:tblStylePr>
    <w:tblStylePr w:type="firstRow">
      <w:rPr>
        <w:sz w:val="22"/>
      </w:rPr>
      <w:tblPr/>
      <w:tcPr>
        <w:shd w:val="clear" w:color="auto" w:fill="D99594"/>
      </w:tcPr>
    </w:tblStylePr>
    <w:tblStylePr w:type="lastCol">
      <w:rPr>
        <w:sz w:val="22"/>
      </w:rPr>
      <w:tblPr/>
      <w:tcPr>
        <w:shd w:val="clear" w:color="auto" w:fill="D99594"/>
      </w:tcPr>
    </w:tblStylePr>
    <w:tblStylePr w:type="lastRow">
      <w:rPr>
        <w:sz w:val="22"/>
      </w:rPr>
      <w:tblPr/>
      <w:tcPr>
        <w:shd w:val="clear" w:color="auto" w:fill="D99594"/>
      </w:tcPr>
    </w:tblStylePr>
  </w:style>
  <w:style w:type="table" w:customStyle="1" w:styleId="904">
    <w:name w:val="Bordered &amp; Lined - Accent 3"/>
    <w:basedOn w:val="866"/>
    <w:uiPriority w:val="99"/>
    <w:pPr>
      <w:spacing w:after="0" w:line="240" w:lineRule="auto"/>
    </w:pPr>
    <w:rPr>
      <w:lang w:eastAsia="ru-RU"/>
      <w:sz w:val="20"/>
      <w:szCs w:val="20"/>
    </w:rPr>
    <w:tblPr>
      <w:tblStyleRowBandSize w:val="1"/>
      <w:tblStyleColBandSize w:val="1"/>
      <w:tblBorders>
        <w:top w:val="single" w:color="76923C" w:sz="4" w:space="0"/>
        <w:left w:val="single" w:color="76923C" w:sz="4" w:space="0"/>
        <w:bottom w:val="single" w:color="76923C" w:sz="4" w:space="0"/>
        <w:right w:val="single" w:color="76923C" w:sz="4" w:space="0"/>
        <w:insideH w:val="single" w:color="76923C" w:sz="4" w:space="0"/>
        <w:insideV w:val="single" w:color="76923C" w:sz="4" w:space="0"/>
      </w:tblBorders>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EAF1DD"/>
      </w:tcPr>
    </w:tblStylePr>
    <w:tblStylePr w:type="band2Vert">
      <w:rPr>
        <w:sz w:val="22"/>
      </w:rPr>
      <w:tblPr/>
      <w:tcPr>
        <w:shd w:val="clear" w:color="auto" w:fill="EAF1DD"/>
      </w:tcPr>
    </w:tblStylePr>
    <w:tblStylePr w:type="firstCol">
      <w:rPr>
        <w:sz w:val="22"/>
      </w:rPr>
      <w:tblPr/>
      <w:tcPr>
        <w:shd w:val="clear" w:color="auto" w:fill="9BBB59"/>
      </w:tcPr>
    </w:tblStylePr>
    <w:tblStylePr w:type="firstRow">
      <w:rPr>
        <w:sz w:val="22"/>
      </w:rPr>
      <w:tblPr/>
      <w:tcPr>
        <w:shd w:val="clear" w:color="auto" w:fill="9BBB59"/>
      </w:tcPr>
    </w:tblStylePr>
    <w:tblStylePr w:type="lastCol">
      <w:rPr>
        <w:sz w:val="22"/>
      </w:rPr>
      <w:tblPr/>
      <w:tcPr>
        <w:shd w:val="clear" w:color="auto" w:fill="9BBB59"/>
      </w:tcPr>
    </w:tblStylePr>
    <w:tblStylePr w:type="lastRow">
      <w:rPr>
        <w:sz w:val="22"/>
      </w:rPr>
      <w:tblPr/>
      <w:tcPr>
        <w:shd w:val="clear" w:color="auto" w:fill="9BBB59"/>
      </w:tcPr>
    </w:tblStylePr>
  </w:style>
  <w:style w:type="table" w:customStyle="1" w:styleId="905">
    <w:name w:val="Bordered &amp; Lined - Accent 4"/>
    <w:basedOn w:val="866"/>
    <w:uiPriority w:val="99"/>
    <w:pPr>
      <w:spacing w:after="0" w:line="240" w:lineRule="auto"/>
    </w:pPr>
    <w:rPr>
      <w:lang w:eastAsia="ru-RU"/>
      <w:sz w:val="20"/>
      <w:szCs w:val="20"/>
    </w:rPr>
    <w:tblPr>
      <w:tblStyleRowBandSize w:val="1"/>
      <w:tblStyleColBandSize w:val="1"/>
      <w:tblBorders>
        <w:top w:val="single" w:color="8064A2" w:sz="4" w:space="0"/>
        <w:left w:val="single" w:color="8064A2" w:sz="4" w:space="0"/>
        <w:bottom w:val="single" w:color="8064A2" w:sz="4" w:space="0"/>
        <w:right w:val="single" w:color="8064A2" w:sz="4" w:space="0"/>
        <w:insideH w:val="single" w:color="8064A2" w:sz="4" w:space="0"/>
        <w:insideV w:val="single" w:color="8064A2" w:sz="4" w:space="0"/>
      </w:tblBorders>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E5DFEC"/>
      </w:tcPr>
    </w:tblStylePr>
    <w:tblStylePr w:type="band2Vert">
      <w:rPr>
        <w:sz w:val="22"/>
      </w:rPr>
      <w:tblPr/>
      <w:tcPr>
        <w:shd w:val="clear" w:color="auto" w:fill="E5DFEC"/>
      </w:tcPr>
    </w:tblStylePr>
    <w:tblStylePr w:type="firstCol">
      <w:rPr>
        <w:sz w:val="22"/>
      </w:rPr>
      <w:tblPr/>
      <w:tcPr>
        <w:shd w:val="clear" w:color="auto" w:fill="B2A1C7"/>
      </w:tcPr>
    </w:tblStylePr>
    <w:tblStylePr w:type="firstRow">
      <w:rPr>
        <w:sz w:val="22"/>
      </w:rPr>
      <w:tblPr/>
      <w:tcPr>
        <w:shd w:val="clear" w:color="auto" w:fill="B2A1C7"/>
      </w:tcPr>
    </w:tblStylePr>
    <w:tblStylePr w:type="lastCol">
      <w:rPr>
        <w:sz w:val="22"/>
      </w:rPr>
      <w:tblPr/>
      <w:tcPr>
        <w:shd w:val="clear" w:color="auto" w:fill="B2A1C7"/>
      </w:tcPr>
    </w:tblStylePr>
    <w:tblStylePr w:type="lastRow">
      <w:rPr>
        <w:sz w:val="22"/>
      </w:rPr>
      <w:tblPr/>
      <w:tcPr>
        <w:shd w:val="clear" w:color="auto" w:fill="B2A1C7"/>
      </w:tcPr>
    </w:tblStylePr>
  </w:style>
  <w:style w:type="table" w:customStyle="1" w:styleId="906">
    <w:name w:val="Bordered &amp; Lined - Accent 5"/>
    <w:basedOn w:val="866"/>
    <w:uiPriority w:val="99"/>
    <w:pPr>
      <w:spacing w:after="0" w:line="240" w:lineRule="auto"/>
    </w:pPr>
    <w:rPr>
      <w:lang w:eastAsia="ru-RU"/>
      <w:sz w:val="20"/>
      <w:szCs w:val="20"/>
    </w:rPr>
    <w:tblPr>
      <w:tblStyleRowBandSize w:val="1"/>
      <w:tblStyleColBandSize w:val="1"/>
      <w:tblBorders>
        <w:top w:val="single" w:color="31849B" w:sz="4" w:space="0"/>
        <w:left w:val="single" w:color="31849B" w:sz="4" w:space="0"/>
        <w:bottom w:val="single" w:color="31849B" w:sz="4" w:space="0"/>
        <w:right w:val="single" w:color="31849B" w:sz="4" w:space="0"/>
        <w:insideH w:val="single" w:color="31849B" w:sz="4" w:space="0"/>
        <w:insideV w:val="single" w:color="31849B" w:sz="4" w:space="0"/>
      </w:tblBorders>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DAEEF3"/>
      </w:tcPr>
    </w:tblStylePr>
    <w:tblStylePr w:type="band2Vert">
      <w:rPr>
        <w:sz w:val="22"/>
      </w:rPr>
      <w:tblPr/>
      <w:tcPr>
        <w:shd w:val="clear" w:color="auto" w:fill="DAEEF3"/>
      </w:tcPr>
    </w:tblStylePr>
    <w:tblStylePr w:type="firstCol">
      <w:rPr>
        <w:sz w:val="22"/>
      </w:rPr>
      <w:tblPr/>
      <w:tcPr>
        <w:shd w:val="clear" w:color="auto" w:fill="4BACC6"/>
      </w:tcPr>
    </w:tblStylePr>
    <w:tblStylePr w:type="firstRow">
      <w:rPr>
        <w:sz w:val="22"/>
      </w:rPr>
      <w:tblPr/>
      <w:tcPr>
        <w:shd w:val="clear" w:color="auto" w:fill="4BACC6"/>
      </w:tcPr>
    </w:tblStylePr>
    <w:tblStylePr w:type="lastCol">
      <w:rPr>
        <w:sz w:val="22"/>
      </w:rPr>
      <w:tblPr/>
      <w:tcPr>
        <w:shd w:val="clear" w:color="auto" w:fill="4BACC6"/>
      </w:tcPr>
    </w:tblStylePr>
    <w:tblStylePr w:type="lastRow">
      <w:rPr>
        <w:sz w:val="22"/>
      </w:rPr>
      <w:tblPr/>
      <w:tcPr>
        <w:shd w:val="clear" w:color="auto" w:fill="4BACC6"/>
      </w:tcPr>
    </w:tblStylePr>
  </w:style>
  <w:style w:type="table" w:customStyle="1" w:styleId="907">
    <w:name w:val="Bordered &amp; Lined - Accent 6"/>
    <w:basedOn w:val="866"/>
    <w:uiPriority w:val="99"/>
    <w:pPr>
      <w:spacing w:after="0" w:line="240" w:lineRule="auto"/>
    </w:pPr>
    <w:rPr>
      <w:lang w:eastAsia="ru-RU"/>
      <w:sz w:val="20"/>
      <w:szCs w:val="20"/>
    </w:rPr>
    <w:tblPr>
      <w:tblStyleRowBandSize w:val="1"/>
      <w:tblStyleColBandSize w:val="1"/>
      <w:tblBorders>
        <w:top w:val="single" w:color="E36C0A" w:sz="4" w:space="0"/>
        <w:left w:val="single" w:color="E36C0A" w:sz="4" w:space="0"/>
        <w:bottom w:val="single" w:color="E36C0A" w:sz="4" w:space="0"/>
        <w:right w:val="single" w:color="E36C0A" w:sz="4" w:space="0"/>
        <w:insideH w:val="single" w:color="E36C0A" w:sz="4" w:space="0"/>
        <w:insideV w:val="single" w:color="E36C0A" w:sz="4" w:space="0"/>
      </w:tblBorders>
      <w:tblCellMar>
        <w:left w:w="170" w:type="dxa"/>
        <w:top w:w="96" w:type="dxa"/>
        <w:right w:w="170" w:type="dxa"/>
        <w:bottom w:w="96" w:type="dxa"/>
      </w:tblCellMar>
    </w:tblPr>
    <w:tblStylePr w:type="band1Horz">
      <w:rPr>
        <w:sz w:val="22"/>
      </w:rPr>
      <w:tblPr/>
    </w:tblStylePr>
    <w:tblStylePr w:type="band1Vert">
      <w:rPr>
        <w:sz w:val="22"/>
      </w:rPr>
      <w:tblPr/>
    </w:tblStylePr>
    <w:tblStylePr w:type="band2Horz">
      <w:rPr>
        <w:sz w:val="22"/>
      </w:rPr>
      <w:tblPr/>
      <w:tcPr>
        <w:shd w:val="clear" w:color="auto" w:fill="FDE9D9"/>
      </w:tcPr>
    </w:tblStylePr>
    <w:tblStylePr w:type="band2Vert">
      <w:rPr>
        <w:sz w:val="22"/>
      </w:rPr>
      <w:tblPr/>
      <w:tcPr>
        <w:shd w:val="clear" w:color="auto" w:fill="FDE9D9"/>
      </w:tcPr>
    </w:tblStylePr>
    <w:tblStylePr w:type="firstCol">
      <w:rPr>
        <w:sz w:val="22"/>
      </w:rPr>
      <w:tblPr/>
      <w:tcPr>
        <w:shd w:val="clear" w:color="auto" w:fill="F79646"/>
      </w:tcPr>
    </w:tblStylePr>
    <w:tblStylePr w:type="firstRow">
      <w:rPr>
        <w:sz w:val="22"/>
      </w:rPr>
      <w:tblPr/>
      <w:tcPr>
        <w:shd w:val="clear" w:color="auto" w:fill="F79646"/>
      </w:tcPr>
    </w:tblStylePr>
    <w:tblStylePr w:type="lastCol">
      <w:rPr>
        <w:sz w:val="22"/>
      </w:rPr>
      <w:tblPr/>
      <w:tcPr>
        <w:shd w:val="clear" w:color="auto" w:fill="F79646"/>
      </w:tcPr>
    </w:tblStylePr>
    <w:tblStylePr w:type="lastRow">
      <w:rPr>
        <w:sz w:val="22"/>
      </w:rPr>
      <w:tblPr/>
      <w:tcPr>
        <w:shd w:val="clear" w:color="auto" w:fill="F79646"/>
      </w:tcPr>
    </w:tblStylePr>
  </w:style>
  <w:style w:type="table" w:styleId="937">
    <w:name w:val="Table Grid"/>
    <w:basedOn w:val="866"/>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mobileonline.garant.ru/document/redirect/403022054/5" TargetMode="External"/><Relationship Id="rId3" Type="http://schemas.openxmlformats.org/officeDocument/2006/relationships/hyperlink" Target="http://mobileonline.garant.ru/document/redirect/403022054/5" TargetMode="External"/><Relationship Id="rId4" Type="http://schemas.openxmlformats.org/officeDocument/2006/relationships/hyperlink" Target="http://mobileonline.garant.ru/document/redirect/1305770/0" TargetMode="External"/><Relationship Id="rId5" Type="http://schemas.openxmlformats.org/officeDocument/2006/relationships/hyperlink" Target="http://mobileonline.garant.ru/document/redirect/407604550/7" TargetMode="External"/><Relationship Id="rId6" Type="http://schemas.openxmlformats.org/officeDocument/2006/relationships/hyperlink" Target="http://mobileonline.garant.ru/document/redirect/19853137/0" TargetMode="External"/><Relationship Id="rId7" Type="http://schemas.openxmlformats.org/officeDocument/2006/relationships/hyperlink" Target="http://mobileonline.garant.ru/document/redirect/407604550/17" TargetMode="External"/><Relationship Id="rId8" Type="http://schemas.openxmlformats.org/officeDocument/2006/relationships/hyperlink" Target="http://mobileonline.garant.ru/document/redirect/407604550/20" TargetMode="External"/><Relationship Id="rId9" Type="http://schemas.openxmlformats.org/officeDocument/2006/relationships/hyperlink" Target="http://mobileonline.garant.ru/document/redirect/2321493/100000" TargetMode="External"/><Relationship Id="rId10" Type="http://schemas.openxmlformats.org/officeDocument/2006/relationships/hyperlink" Target="http://mobileonline.garant.ru/document/redirect/407604550/20" TargetMode="External"/><Relationship Id="rId11" Type="http://schemas.openxmlformats.org/officeDocument/2006/relationships/hyperlink" Target="http://mobileonline.garant.ru/document/redirect/12112084/501" TargetMode="External"/><Relationship Id="rId12" Type="http://schemas.openxmlformats.org/officeDocument/2006/relationships/hyperlink" Target="http://mobileonline.garant.ru/document/redirect/71540160/1000" TargetMode="External"/><Relationship Id="rId13" Type="http://schemas.openxmlformats.org/officeDocument/2006/relationships/hyperlink" Target="http://mobileonline.garant.ru/document/redirect/19865806/1000" TargetMode="External"/><Relationship Id="rId14" Type="http://schemas.openxmlformats.org/officeDocument/2006/relationships/hyperlink" Target="http://mobileonline.garant.ru/document/redirect/19865806/1000" TargetMode="External"/><Relationship Id="rId15" Type="http://schemas.openxmlformats.org/officeDocument/2006/relationships/hyperlink" Target="http://mobileonline.garant.ru/document/redirect/12112084/247" TargetMode="External"/><Relationship Id="rId16" Type="http://schemas.openxmlformats.org/officeDocument/2006/relationships/hyperlink" Target="http://mobileonline.garant.ru/document/redirect/12115118/22" TargetMode="External"/><Relationship Id="rId17" Type="http://schemas.openxmlformats.org/officeDocument/2006/relationships/hyperlink" Target="http://mobileonline.garant.ru/document/redirect/10164072/2034" TargetMode="External"/><Relationship Id="rId18" Type="http://schemas.openxmlformats.org/officeDocument/2006/relationships/hyperlink" Target="http://mobileonline.garant.ru/document/redirect/10164072/2034" TargetMode="External"/><Relationship Id="rId19" Type="http://schemas.openxmlformats.org/officeDocument/2006/relationships/hyperlink" Target="http://mobileonline.garant.ru/document/redirect/10103955/22" TargetMode="External"/><Relationship Id="rId20" Type="http://schemas.openxmlformats.org/officeDocument/2006/relationships/hyperlink" Target="http://mobileonline.garant.ru/document/redirect/12115118/3" TargetMode="External"/><Relationship Id="rId21" Type="http://schemas.openxmlformats.org/officeDocument/2006/relationships/hyperlink" Target="http://mobileonline.garant.ru/document/redirect/72036220/41" TargetMode="External"/><Relationship Id="rId22" Type="http://schemas.openxmlformats.org/officeDocument/2006/relationships/hyperlink" Target="http://mobileonline.garant.ru/document/redirect/12112084/246" TargetMode="External"/><Relationship Id="rId23" Type="http://schemas.openxmlformats.org/officeDocument/2006/relationships/hyperlink" Target="http://mobileonline.garant.ru/document/redirect/400165422/1000" TargetMode="External"/><Relationship Id="rId24" Type="http://schemas.openxmlformats.org/officeDocument/2006/relationships/hyperlink" Target="http://mobileonline.garant.ru/document/redirect/407604550/20" TargetMode="External"/><Relationship Id="rId25" Type="http://schemas.openxmlformats.org/officeDocument/2006/relationships/hyperlink" Target="http://mobileonline.garant.ru/document/redirect/407604550/20" TargetMode="External"/><Relationship Id="rId26" Type="http://schemas.openxmlformats.org/officeDocument/2006/relationships/hyperlink" Target="http://mobileonline.garant.ru/document/redirect/407604550/20" TargetMode="External"/><Relationship Id="rId27" Type="http://schemas.openxmlformats.org/officeDocument/2006/relationships/hyperlink" Target="http://mobileonline.garant.ru/document/redirect/71692340/0" TargetMode="External"/><Relationship Id="rId28" Type="http://schemas.openxmlformats.org/officeDocument/2006/relationships/hyperlink" Target="http://mobileonline.garant.ru/document/redirect/407604550/20" TargetMode="External"/><Relationship Id="rId29" Type="http://schemas.openxmlformats.org/officeDocument/2006/relationships/hyperlink" Target="http://mobileonline.garant.ru/document/redirect/1305770/0" TargetMode="External"/><Relationship Id="rId30" Type="http://schemas.openxmlformats.org/officeDocument/2006/relationships/hyperlink" Target="http://mobileonline.garant.ru/document/redirect/71692340/0" TargetMode="External"/><Relationship Id="rId31" Type="http://schemas.openxmlformats.org/officeDocument/2006/relationships/hyperlink" Target="http://mobileonline.garant.ru/document/redirect/71863360/0" TargetMode="External"/><Relationship Id="rId32" Type="http://schemas.openxmlformats.org/officeDocument/2006/relationships/hyperlink" Target="http://mobileonline.garant.ru/document/redirect/71820718/0" TargetMode="External"/><Relationship Id="rId33" Type="http://schemas.openxmlformats.org/officeDocument/2006/relationships/hyperlink" Target="http://mobileonline.garant.ru/document/redirect/400382837/0" TargetMode="External"/><Relationship Id="rId34" Type="http://schemas.openxmlformats.org/officeDocument/2006/relationships/hyperlink" Target="http://mobileonline.garant.ru/document/redirect/407604550/20" TargetMode="External"/><Relationship Id="rId35" Type="http://schemas.openxmlformats.org/officeDocument/2006/relationships/hyperlink" Target="http://mobileonline.garant.ru/document/redirect/400382837/0" TargetMode="External"/><Relationship Id="rId36" Type="http://schemas.openxmlformats.org/officeDocument/2006/relationships/hyperlink" Target="http://mobileonline.garant.ru/document/redirect/403022054/7" TargetMode="External"/><Relationship Id="rId37" Type="http://schemas.openxmlformats.org/officeDocument/2006/relationships/hyperlink" Target="http://mobileonline.garant.ru/document/redirect/1305770/0" TargetMode="External"/><Relationship Id="rId38" Type="http://schemas.openxmlformats.org/officeDocument/2006/relationships/hyperlink" Target="http://mobileonline.garant.ru/document/redirect/12145525/0" TargetMode="External"/><Relationship Id="rId39" Type="http://schemas.openxmlformats.org/officeDocument/2006/relationships/hyperlink" Target="http://mobileonline.garant.ru/document/redirect/10106035/0" TargetMode="External"/><Relationship Id="rId40" Type="http://schemas.openxmlformats.org/officeDocument/2006/relationships/hyperlink" Target="http://mobileonline.garant.ru/document/redirect/407604550/20" TargetMode="External"/><Relationship Id="rId41" Type="http://schemas.openxmlformats.org/officeDocument/2006/relationships/hyperlink" Target="http://mobileonline.garant.ru/document/redirect/407604550/20" TargetMode="External"/><Relationship Id="rId42" Type="http://schemas.openxmlformats.org/officeDocument/2006/relationships/hyperlink" Target="consultantplus://offline/ref=977DF53A9624D5ADBF75CC48931DE292E78B8E0A57343B43F23889E024643DC35E3EF18646C9CEF9928481D29719FAB168927B76DFB8027E5B7CH" TargetMode="External"/><Relationship Id="rId43" Type="http://schemas.openxmlformats.org/officeDocument/2006/relationships/hyperlink" Target="https://internet.garant.ru/document/redirect/74355208/1000" TargetMode="External"/><Relationship Id="rId44" Type="http://schemas.openxmlformats.org/officeDocument/2006/relationships/hyperlink" Target="https://internet.garant.ru/document/redirect/74355208/1000" TargetMode="External"/><Relationship Id="rId45" Type="http://schemas.openxmlformats.org/officeDocument/2006/relationships/hyperlink" Target="https://login.consultant.ru/link/?req=doc&amp;base=LAW&amp;n=213122" TargetMode="External"/><Relationship Id="rId46" Type="http://schemas.openxmlformats.org/officeDocument/2006/relationships/header" Target="header1.xml"/><Relationship Id="rId47" Type="http://schemas.openxmlformats.org/officeDocument/2006/relationships/header" Target="header2.xml"/><Relationship Id="rId48" Type="http://schemas.openxmlformats.org/officeDocument/2006/relationships/header" Target="header3.xml"/><Relationship Id="rId49" Type="http://schemas.openxmlformats.org/officeDocument/2006/relationships/numbering" Target="numbering.xml"/><Relationship Id="rId50" Type="http://schemas.openxmlformats.org/officeDocument/2006/relationships/fontTable" Target="fontTable.xml"/><Relationship Id="rId51" Type="http://schemas.openxmlformats.org/officeDocument/2006/relationships/settings" Target="settings.xml"/><Relationship Id="rId5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TotalTime>
  <Application>LibreOffice/25.2.3.2$Linux_X86_64 LibreOffice_project/520$Build-2</Application>
  <AppVersion>15.0000</AppVersion>
  <Pages>27</Pages>
  <Words>9864</Words>
  <Characters>71887</Characters>
  <CharactersWithSpaces>81251</CharactersWithSpaces>
  <Paragraphs>591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2024-12-17T04:45:00Z</dcterms:created>
  <dc:creator>Ольга Романова</dc:creator>
  <dc:description/>
  <dc:language>ru-RU</dc:language>
  <cp:lastModifiedBy/>
  <dcterms:modified xsi:type="dcterms:W3CDTF">2025-10-30T11:57:33Z</dcterms:modified>
  <cp:revision>22</cp:revision>
  <dc:subject/>
  <dc:title/>
</cp:coreProperties>
</file>