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637" w:rsidRDefault="00477637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</w:p>
    <w:bookmarkEnd w:id="0"/>
    <w:p w:rsidR="000B362B" w:rsidRDefault="00477637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ЮУТПП объявляет о старте конкурса Национальной премии в области предпринимательской деятельности «Золотой Меркурий»</w:t>
      </w:r>
    </w:p>
    <w:p w:rsidR="000B362B" w:rsidRDefault="00477637" w:rsidP="00477637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итогам 2025 года</w:t>
      </w:r>
    </w:p>
    <w:p w:rsidR="000B362B" w:rsidRDefault="00477637">
      <w:pPr>
        <w:pStyle w:val="a6"/>
        <w:widowControl w:val="0"/>
        <w:tabs>
          <w:tab w:val="left" w:pos="851"/>
          <w:tab w:val="left" w:pos="1134"/>
          <w:tab w:val="left" w:pos="1276"/>
        </w:tabs>
        <w:spacing w:after="0"/>
        <w:ind w:right="3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Конкурс ежегодно проводится ТПП РФ при поддержке Совета Федерации и Государственной Думы ФС РФ. К участию в конкурсе приглашаются российские предприятия, относящиеся к субъектам микро, малого, среднего предпринимательства, а также крупные экспортно-ориенти</w:t>
      </w:r>
      <w:r>
        <w:rPr>
          <w:sz w:val="28"/>
          <w:szCs w:val="28"/>
        </w:rPr>
        <w:t>рованные компании.</w:t>
      </w:r>
    </w:p>
    <w:p w:rsidR="000B362B" w:rsidRDefault="00477637">
      <w:pPr>
        <w:pStyle w:val="a6"/>
        <w:widowControl w:val="0"/>
        <w:tabs>
          <w:tab w:val="left" w:pos="851"/>
          <w:tab w:val="left" w:pos="1134"/>
          <w:tab w:val="left" w:pos="1276"/>
        </w:tabs>
        <w:spacing w:after="0"/>
        <w:ind w:right="3"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 проводится на безвозмездной основе. Участники конкурса не платят взносы и не несут расходы на экспертизу. </w:t>
      </w:r>
    </w:p>
    <w:p w:rsidR="000B362B" w:rsidRDefault="00477637">
      <w:pPr>
        <w:pStyle w:val="a6"/>
        <w:widowControl w:val="0"/>
        <w:tabs>
          <w:tab w:val="left" w:pos="851"/>
          <w:tab w:val="left" w:pos="1134"/>
          <w:tab w:val="left" w:pos="1276"/>
        </w:tabs>
        <w:spacing w:after="0"/>
        <w:ind w:right="6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Порядок проведения конкурса определен Стандартом проведения конкурса Национальной премии в области предпринимательской де</w:t>
      </w:r>
      <w:r>
        <w:rPr>
          <w:sz w:val="28"/>
          <w:szCs w:val="28"/>
        </w:rPr>
        <w:t xml:space="preserve">ятельности Золотой Меркурий», </w:t>
      </w:r>
      <w:proofErr w:type="gramStart"/>
      <w:r>
        <w:rPr>
          <w:sz w:val="28"/>
          <w:szCs w:val="28"/>
        </w:rPr>
        <w:t>утвержденном</w:t>
      </w:r>
      <w:proofErr w:type="gramEnd"/>
      <w:r>
        <w:rPr>
          <w:sz w:val="28"/>
          <w:szCs w:val="28"/>
        </w:rPr>
        <w:t xml:space="preserve"> постановлением Правления ТПП РФ от 19.12.2024 № 351-34.</w:t>
      </w:r>
    </w:p>
    <w:p w:rsidR="000B362B" w:rsidRDefault="00477637">
      <w:pPr>
        <w:pStyle w:val="a6"/>
        <w:widowControl w:val="0"/>
        <w:tabs>
          <w:tab w:val="left" w:pos="1134"/>
          <w:tab w:val="left" w:pos="1276"/>
          <w:tab w:val="left" w:pos="1418"/>
        </w:tabs>
        <w:spacing w:after="0"/>
        <w:ind w:right="3"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Стандарт, условия отбора, методические материалы размещены на сайте конкурса: </w:t>
      </w:r>
      <w:hyperlink r:id="rId8" w:history="1">
        <w:r>
          <w:rPr>
            <w:rStyle w:val="a4"/>
            <w:sz w:val="28"/>
            <w:szCs w:val="28"/>
          </w:rPr>
          <w:t>https://goldmercury.ru/usloviy</w:t>
        </w:r>
        <w:r>
          <w:rPr>
            <w:rStyle w:val="a4"/>
            <w:sz w:val="28"/>
            <w:szCs w:val="28"/>
          </w:rPr>
          <w:t>a/</w:t>
        </w:r>
      </w:hyperlink>
      <w:r>
        <w:rPr>
          <w:sz w:val="28"/>
          <w:szCs w:val="28"/>
        </w:rPr>
        <w:t xml:space="preserve">. </w:t>
      </w:r>
    </w:p>
    <w:p w:rsidR="000B362B" w:rsidRDefault="000B362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0B362B" w:rsidRDefault="00477637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Установлены следующие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основные номинации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Конкурса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B362B" w:rsidRDefault="00477637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«Лучшее предприятие малого и среднего бизнеса»:</w:t>
      </w:r>
    </w:p>
    <w:p w:rsidR="000B362B" w:rsidRDefault="00477637">
      <w:pPr>
        <w:pStyle w:val="a8"/>
        <w:numPr>
          <w:ilvl w:val="0"/>
          <w:numId w:val="6"/>
        </w:numPr>
        <w:tabs>
          <w:tab w:val="left" w:pos="284"/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сфере промышленного производства;</w:t>
      </w:r>
    </w:p>
    <w:p w:rsidR="000B362B" w:rsidRDefault="00477637">
      <w:pPr>
        <w:pStyle w:val="a8"/>
        <w:numPr>
          <w:ilvl w:val="0"/>
          <w:numId w:val="6"/>
        </w:numPr>
        <w:tabs>
          <w:tab w:val="left" w:pos="284"/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сфере строительства;</w:t>
      </w:r>
    </w:p>
    <w:p w:rsidR="000B362B" w:rsidRDefault="00477637">
      <w:pPr>
        <w:pStyle w:val="a8"/>
        <w:numPr>
          <w:ilvl w:val="0"/>
          <w:numId w:val="6"/>
        </w:numPr>
        <w:tabs>
          <w:tab w:val="left" w:pos="284"/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сфере производства потребительской продукции;</w:t>
      </w:r>
    </w:p>
    <w:p w:rsidR="000B362B" w:rsidRDefault="00477637">
      <w:pPr>
        <w:pStyle w:val="a8"/>
        <w:numPr>
          <w:ilvl w:val="0"/>
          <w:numId w:val="6"/>
        </w:numPr>
        <w:tabs>
          <w:tab w:val="left" w:pos="284"/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сфере услуг;</w:t>
      </w:r>
    </w:p>
    <w:p w:rsidR="000B362B" w:rsidRDefault="00477637">
      <w:pPr>
        <w:pStyle w:val="a8"/>
        <w:numPr>
          <w:ilvl w:val="0"/>
          <w:numId w:val="6"/>
        </w:numPr>
        <w:tabs>
          <w:tab w:val="left" w:pos="284"/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агропромышленном комплексе;</w:t>
      </w:r>
    </w:p>
    <w:p w:rsidR="000B362B" w:rsidRDefault="00477637">
      <w:pPr>
        <w:pStyle w:val="a8"/>
        <w:numPr>
          <w:ilvl w:val="0"/>
          <w:numId w:val="6"/>
        </w:numPr>
        <w:tabs>
          <w:tab w:val="left" w:pos="284"/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сфере инновационной деятельности;</w:t>
      </w:r>
    </w:p>
    <w:p w:rsidR="000B362B" w:rsidRDefault="00477637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«Лучшее предприятие-экспортер»:</w:t>
      </w:r>
    </w:p>
    <w:p w:rsidR="000B362B" w:rsidRDefault="00477637">
      <w:pPr>
        <w:pStyle w:val="a8"/>
        <w:numPr>
          <w:ilvl w:val="0"/>
          <w:numId w:val="7"/>
        </w:numPr>
        <w:tabs>
          <w:tab w:val="left" w:pos="284"/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сфере промышленного производства;</w:t>
      </w:r>
    </w:p>
    <w:p w:rsidR="000B362B" w:rsidRDefault="00477637">
      <w:pPr>
        <w:pStyle w:val="a8"/>
        <w:numPr>
          <w:ilvl w:val="0"/>
          <w:numId w:val="7"/>
        </w:numPr>
        <w:tabs>
          <w:tab w:val="left" w:pos="284"/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сфере производства потребительской продукции;</w:t>
      </w:r>
    </w:p>
    <w:p w:rsidR="000B362B" w:rsidRDefault="00477637">
      <w:pPr>
        <w:pStyle w:val="a8"/>
        <w:numPr>
          <w:ilvl w:val="0"/>
          <w:numId w:val="7"/>
        </w:numPr>
        <w:tabs>
          <w:tab w:val="left" w:pos="284"/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сфере услуг;</w:t>
      </w:r>
    </w:p>
    <w:p w:rsidR="000B362B" w:rsidRDefault="00477637">
      <w:pPr>
        <w:pStyle w:val="a8"/>
        <w:numPr>
          <w:ilvl w:val="0"/>
          <w:numId w:val="7"/>
        </w:numPr>
        <w:tabs>
          <w:tab w:val="left" w:pos="284"/>
          <w:tab w:val="left" w:pos="993"/>
        </w:tabs>
        <w:ind w:left="0" w:firstLine="567"/>
        <w:jc w:val="both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в сфере инновационной деятельности</w:t>
      </w:r>
      <w:r>
        <w:rPr>
          <w:i/>
          <w:sz w:val="28"/>
          <w:szCs w:val="28"/>
        </w:rPr>
        <w:t>.</w:t>
      </w:r>
    </w:p>
    <w:p w:rsidR="000B362B" w:rsidRDefault="00477637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«Лучшее семейное предприятие России».</w:t>
      </w:r>
    </w:p>
    <w:p w:rsidR="000B362B" w:rsidRDefault="00477637">
      <w:pPr>
        <w:widowControl w:val="0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Установлены следующие </w:t>
      </w:r>
      <w:hyperlink r:id="rId9" w:history="1">
        <w:r>
          <w:rPr>
            <w:rFonts w:ascii="Times New Roman" w:hAnsi="Times New Roman" w:cs="Times New Roman"/>
            <w:b/>
            <w:bCs/>
            <w:iCs/>
            <w:color w:val="000000"/>
            <w:sz w:val="28"/>
            <w:szCs w:val="28"/>
            <w:shd w:val="clear" w:color="auto" w:fill="FFFFFF"/>
          </w:rPr>
          <w:t>специ</w:t>
        </w:r>
        <w:r>
          <w:rPr>
            <w:rFonts w:ascii="Times New Roman" w:hAnsi="Times New Roman" w:cs="Times New Roman"/>
            <w:b/>
            <w:bCs/>
            <w:iCs/>
            <w:color w:val="000000"/>
            <w:sz w:val="28"/>
            <w:szCs w:val="28"/>
            <w:shd w:val="clear" w:color="auto" w:fill="FFFFFF"/>
          </w:rPr>
          <w:t>альные номинации</w:t>
        </w:r>
      </w:hyperlink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федерального этапа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0B362B" w:rsidRDefault="00477637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«За вклад в сохранение и развитие народных художественных промыслов России»;</w:t>
      </w:r>
    </w:p>
    <w:p w:rsidR="000B362B" w:rsidRDefault="00477637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«Лучшая банковская программа для МСП»;</w:t>
      </w:r>
    </w:p>
    <w:p w:rsidR="000B362B" w:rsidRDefault="00477637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Устремленные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 будущее»;</w:t>
      </w:r>
    </w:p>
    <w:p w:rsidR="000B362B" w:rsidRDefault="00477637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«Лучший эксперт системы торгово-промышленных палат в Российской Феде</w:t>
      </w:r>
      <w:r>
        <w:rPr>
          <w:rFonts w:ascii="Times New Roman" w:hAnsi="Times New Roman" w:cs="Times New Roman"/>
          <w:bCs/>
          <w:sz w:val="28"/>
          <w:szCs w:val="28"/>
        </w:rPr>
        <w:t>рации»;</w:t>
      </w:r>
    </w:p>
    <w:p w:rsidR="000B362B" w:rsidRDefault="00477637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«Лучшая торгово-промышленная палата в сфере экспертной деятельности».</w:t>
      </w:r>
    </w:p>
    <w:p w:rsidR="000B362B" w:rsidRDefault="00477637">
      <w:pPr>
        <w:pStyle w:val="a8"/>
        <w:tabs>
          <w:tab w:val="left" w:pos="851"/>
        </w:tabs>
        <w:ind w:left="0" w:right="3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«Демонстрируем будущее – инновационный прорыв на выставке»</w:t>
      </w:r>
      <w:r>
        <w:rPr>
          <w:b/>
          <w:sz w:val="28"/>
          <w:szCs w:val="28"/>
        </w:rPr>
        <w:t>.</w:t>
      </w:r>
    </w:p>
    <w:p w:rsidR="000B362B" w:rsidRDefault="000B362B">
      <w:pPr>
        <w:widowControl w:val="0"/>
        <w:tabs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B362B" w:rsidRDefault="00477637">
      <w:pPr>
        <w:widowControl w:val="0"/>
        <w:tabs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Конкурс состоит из следующих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основных этапов:</w:t>
      </w:r>
    </w:p>
    <w:p w:rsidR="000B362B" w:rsidRDefault="00477637">
      <w:pPr>
        <w:pStyle w:val="a6"/>
        <w:widowControl w:val="0"/>
        <w:numPr>
          <w:ilvl w:val="0"/>
          <w:numId w:val="8"/>
        </w:numPr>
        <w:tabs>
          <w:tab w:val="left" w:pos="993"/>
          <w:tab w:val="left" w:pos="1276"/>
        </w:tabs>
        <w:spacing w:after="0"/>
        <w:ind w:left="0" w:right="3" w:firstLine="567"/>
        <w:contextualSpacing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Региональный этап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проводится</w:t>
      </w:r>
      <w:r>
        <w:rPr>
          <w:color w:val="000000"/>
          <w:spacing w:val="1"/>
          <w:sz w:val="28"/>
          <w:szCs w:val="28"/>
        </w:rPr>
        <w:t xml:space="preserve"> Южно-Уральской </w:t>
      </w:r>
      <w:r>
        <w:rPr>
          <w:color w:val="000000"/>
          <w:sz w:val="28"/>
          <w:szCs w:val="28"/>
        </w:rPr>
        <w:t>торгово-</w:t>
      </w:r>
      <w:r>
        <w:rPr>
          <w:color w:val="000000"/>
          <w:sz w:val="28"/>
          <w:szCs w:val="28"/>
        </w:rPr>
        <w:lastRenderedPageBreak/>
        <w:t>промышленной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палатой с января по апрель 2026 года.</w:t>
      </w:r>
    </w:p>
    <w:p w:rsidR="000B362B" w:rsidRDefault="00477637">
      <w:pPr>
        <w:pStyle w:val="a6"/>
        <w:widowControl w:val="0"/>
        <w:tabs>
          <w:tab w:val="left" w:pos="993"/>
          <w:tab w:val="left" w:pos="1276"/>
        </w:tabs>
        <w:spacing w:after="0"/>
        <w:ind w:right="3" w:firstLine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Срок сбора заявок от потенциальных участников конкурса: 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до</w:t>
      </w:r>
      <w:r>
        <w:rPr>
          <w:b/>
          <w:color w:val="000000"/>
          <w:spacing w:val="1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15</w:t>
      </w:r>
      <w:r>
        <w:rPr>
          <w:b/>
          <w:color w:val="000000"/>
          <w:spacing w:val="1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марта</w:t>
      </w:r>
      <w:r>
        <w:rPr>
          <w:b/>
          <w:color w:val="000000"/>
          <w:spacing w:val="1"/>
          <w:sz w:val="28"/>
          <w:szCs w:val="28"/>
        </w:rPr>
        <w:t xml:space="preserve"> 2026 </w:t>
      </w:r>
      <w:r>
        <w:rPr>
          <w:b/>
          <w:color w:val="000000"/>
          <w:sz w:val="28"/>
          <w:szCs w:val="28"/>
        </w:rPr>
        <w:t>года.</w:t>
      </w:r>
      <w:r>
        <w:rPr>
          <w:rStyle w:val="aa"/>
          <w:sz w:val="28"/>
          <w:szCs w:val="28"/>
        </w:rPr>
        <w:t xml:space="preserve"> </w:t>
      </w:r>
      <w:r>
        <w:rPr>
          <w:rStyle w:val="aa"/>
          <w:sz w:val="28"/>
          <w:szCs w:val="28"/>
        </w:rPr>
        <w:footnoteReference w:id="1"/>
      </w:r>
    </w:p>
    <w:p w:rsidR="000B362B" w:rsidRDefault="00477637">
      <w:pPr>
        <w:pStyle w:val="a6"/>
        <w:widowControl w:val="0"/>
        <w:numPr>
          <w:ilvl w:val="0"/>
          <w:numId w:val="8"/>
        </w:numPr>
        <w:tabs>
          <w:tab w:val="left" w:pos="993"/>
          <w:tab w:val="left" w:pos="1276"/>
        </w:tabs>
        <w:spacing w:after="0"/>
        <w:ind w:left="0" w:right="3" w:firstLine="567"/>
        <w:contextualSpacing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Федеральный этап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проводится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Торгово-промышленной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палатой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Российской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Федерации с апреля по июнь 2026 года. </w:t>
      </w:r>
    </w:p>
    <w:p w:rsidR="000B362B" w:rsidRDefault="00477637">
      <w:pPr>
        <w:pStyle w:val="a6"/>
        <w:widowControl w:val="0"/>
        <w:tabs>
          <w:tab w:val="left" w:pos="993"/>
          <w:tab w:val="left" w:pos="1276"/>
        </w:tabs>
        <w:spacing w:after="0"/>
        <w:ind w:right="3" w:firstLine="567"/>
        <w:contextualSpacing/>
        <w:jc w:val="both"/>
        <w:rPr>
          <w:b/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 xml:space="preserve">Срок направления заявок </w:t>
      </w:r>
      <w:r>
        <w:rPr>
          <w:color w:val="000000"/>
          <w:sz w:val="28"/>
          <w:szCs w:val="28"/>
        </w:rPr>
        <w:t xml:space="preserve">победителей регионального этапа на участие в федеральном этапе конкурса: </w:t>
      </w:r>
      <w:r>
        <w:rPr>
          <w:b/>
          <w:color w:val="000000"/>
          <w:sz w:val="28"/>
          <w:szCs w:val="28"/>
        </w:rPr>
        <w:t>до</w:t>
      </w:r>
      <w:r>
        <w:rPr>
          <w:b/>
          <w:color w:val="000000"/>
          <w:spacing w:val="1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10 апреля</w:t>
      </w:r>
      <w:r>
        <w:rPr>
          <w:b/>
          <w:color w:val="000000"/>
          <w:spacing w:val="1"/>
          <w:sz w:val="28"/>
          <w:szCs w:val="28"/>
        </w:rPr>
        <w:t xml:space="preserve"> 2026 года.</w:t>
      </w:r>
    </w:p>
    <w:p w:rsidR="000B362B" w:rsidRDefault="00477637">
      <w:pPr>
        <w:pStyle w:val="a6"/>
        <w:widowControl w:val="0"/>
        <w:tabs>
          <w:tab w:val="left" w:pos="1134"/>
          <w:tab w:val="left" w:pos="1276"/>
          <w:tab w:val="left" w:pos="1418"/>
        </w:tabs>
        <w:spacing w:after="0"/>
        <w:ind w:right="3" w:firstLine="567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Порядок подачи:</w:t>
      </w:r>
    </w:p>
    <w:p w:rsidR="000B362B" w:rsidRDefault="00477637">
      <w:pPr>
        <w:pStyle w:val="a6"/>
        <w:widowControl w:val="0"/>
        <w:tabs>
          <w:tab w:val="left" w:pos="1134"/>
          <w:tab w:val="left" w:pos="1276"/>
          <w:tab w:val="left" w:pos="1418"/>
        </w:tabs>
        <w:spacing w:after="0"/>
        <w:ind w:right="3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Заявки на участие в конкурсе</w:t>
      </w:r>
      <w:r>
        <w:rPr>
          <w:rStyle w:val="aa"/>
          <w:sz w:val="28"/>
          <w:szCs w:val="28"/>
        </w:rPr>
        <w:footnoteReference w:id="2"/>
      </w:r>
      <w:r>
        <w:rPr>
          <w:sz w:val="28"/>
          <w:szCs w:val="28"/>
        </w:rPr>
        <w:t xml:space="preserve"> подаются потенциальными участниками конкурса через цифровой сервис «Золотой Меркурий», ссылка на который размеще</w:t>
      </w:r>
      <w:r>
        <w:rPr>
          <w:sz w:val="28"/>
          <w:szCs w:val="28"/>
        </w:rPr>
        <w:t xml:space="preserve">на на официальном сайте конкурса в разделе «Условия»: </w:t>
      </w:r>
      <w:hyperlink r:id="rId10" w:history="1">
        <w:r>
          <w:rPr>
            <w:rStyle w:val="a4"/>
            <w:sz w:val="28"/>
            <w:szCs w:val="28"/>
          </w:rPr>
          <w:t>https://goldmercury.ru/usloviya/</w:t>
        </w:r>
      </w:hyperlink>
      <w:r>
        <w:rPr>
          <w:sz w:val="28"/>
          <w:szCs w:val="28"/>
        </w:rPr>
        <w:t xml:space="preserve">. </w:t>
      </w:r>
    </w:p>
    <w:p w:rsidR="000B362B" w:rsidRDefault="0047763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подачи заявки заявителю от лица потенциального участника конкурса необходимо пройти </w:t>
      </w:r>
      <w:hyperlink r:id="rId11" w:tgtFrame="_blank" w:history="1">
        <w:r>
          <w:rPr>
            <w:rStyle w:val="a4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регистрацию в «личном кабинете»</w:t>
        </w:r>
      </w:hyperlink>
      <w: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сайте ТПП РФ, в разделе </w:t>
      </w:r>
      <w: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«</w:t>
      </w:r>
      <w:hyperlink r:id="rId12" w:tgtFrame="_blank" w:history="1">
        <w:r>
          <w:rPr>
            <w:rStyle w:val="a4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Услуги</w:t>
        </w:r>
      </w:hyperlink>
      <w: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личного кабинета выбрать услугу по желаемой номинации конкурса национальной премии «Золотой Меркурий» и подать заявку. После подачи заявки ее статус можно отслеживать в разделе  </w:t>
      </w:r>
      <w: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«</w:t>
      </w:r>
      <w:hyperlink r:id="rId13" w:tgtFrame="_blank" w:history="1">
        <w:r>
          <w:rPr>
            <w:rStyle w:val="a4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Мои заявки</w:t>
        </w:r>
      </w:hyperlink>
      <w: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личного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кабинета пользователя.</w:t>
      </w:r>
    </w:p>
    <w:p w:rsidR="000B362B" w:rsidRDefault="0047763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Потенциальный участник конкурса подает заявку в ЮУТПП </w:t>
      </w:r>
      <w:r>
        <w:rPr>
          <w:rFonts w:ascii="Times New Roman" w:hAnsi="Times New Roman" w:cs="Times New Roman"/>
          <w:sz w:val="28"/>
          <w:szCs w:val="28"/>
        </w:rPr>
        <w:t>(выбирает соответствующий регион и палату при формировании заявки в цифровом сервисе).</w:t>
      </w:r>
    </w:p>
    <w:p w:rsidR="000B362B" w:rsidRDefault="0047763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Потенциальный участник конкурса может направить заявку </w:t>
      </w:r>
      <w:r>
        <w:rPr>
          <w:rFonts w:ascii="Times New Roman" w:hAnsi="Times New Roman" w:cs="Times New Roman"/>
          <w:b/>
          <w:bCs/>
          <w:sz w:val="28"/>
          <w:szCs w:val="28"/>
        </w:rPr>
        <w:t>не более чем по одной номинации.</w:t>
      </w:r>
    </w:p>
    <w:p w:rsidR="000B362B" w:rsidRDefault="00477637">
      <w:pPr>
        <w:pStyle w:val="a6"/>
        <w:widowControl w:val="0"/>
        <w:tabs>
          <w:tab w:val="left" w:pos="1134"/>
          <w:tab w:val="left" w:pos="1276"/>
          <w:tab w:val="left" w:pos="1418"/>
        </w:tabs>
        <w:spacing w:after="0"/>
        <w:ind w:right="3"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п</w:t>
      </w:r>
      <w:r>
        <w:rPr>
          <w:b/>
          <w:sz w:val="28"/>
          <w:szCs w:val="28"/>
        </w:rPr>
        <w:t>ервом этапе конкурса (региональном) заявки рассматриваются и оцениваются Южно-Уральской торгово-промышленной палатой.</w:t>
      </w:r>
    </w:p>
    <w:p w:rsidR="000B362B" w:rsidRDefault="00477637">
      <w:pPr>
        <w:pStyle w:val="a6"/>
        <w:widowControl w:val="0"/>
        <w:tabs>
          <w:tab w:val="left" w:pos="1134"/>
          <w:tab w:val="left" w:pos="1276"/>
          <w:tab w:val="left" w:pos="1418"/>
        </w:tabs>
        <w:spacing w:after="0"/>
        <w:ind w:right="3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победителей регионального этапа направляются через цифровой сервис «Золотой Меркурий» на второй этап конкурса (федеральный) </w:t>
      </w:r>
      <w:r>
        <w:rPr>
          <w:color w:val="000000"/>
          <w:sz w:val="28"/>
          <w:szCs w:val="28"/>
        </w:rPr>
        <w:t>в адрес</w:t>
      </w:r>
      <w:r>
        <w:rPr>
          <w:color w:val="000000"/>
          <w:sz w:val="28"/>
          <w:szCs w:val="28"/>
        </w:rPr>
        <w:t xml:space="preserve"> ТПП РФ</w:t>
      </w:r>
      <w:r>
        <w:rPr>
          <w:sz w:val="28"/>
          <w:szCs w:val="28"/>
        </w:rPr>
        <w:t>.</w:t>
      </w:r>
    </w:p>
    <w:p w:rsidR="000B362B" w:rsidRDefault="00477637">
      <w:pPr>
        <w:widowControl w:val="0"/>
        <w:tabs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Торжественная церемония награждения победителей и лауреатов Конкурса состоится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15 июня 2026 года в г. Москве.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B362B" w:rsidRDefault="00477637">
      <w:pPr>
        <w:widowControl w:val="0"/>
        <w:tabs>
          <w:tab w:val="left" w:pos="567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Победители Конкурса награждаются эксклюзивными статуэтками «Золотой Меркурий», ценными призами и дипломами ТПП РФ, лауреатам Конкурса вручаются дипломы ТПП РФ и памятные медали.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Победителям и лауреатам Конкурса предоставляется право использования эмблемы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онкурса как показателя, подтверждающего высокое качество продукции и услуг (полный перечень преференций размещен на сайте Конкурса). </w:t>
      </w:r>
    </w:p>
    <w:p w:rsidR="00477637" w:rsidRDefault="00477637">
      <w:pPr>
        <w:pStyle w:val="ab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0B362B" w:rsidRDefault="00477637">
      <w:pPr>
        <w:pStyle w:val="ab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Контакты.</w:t>
      </w:r>
    </w:p>
    <w:p w:rsidR="000B362B" w:rsidRDefault="00477637">
      <w:pPr>
        <w:pStyle w:val="ab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t>Региональный организационный комитет конкурса Южно-Уральской торгово-промышленной палаты:</w:t>
      </w:r>
    </w:p>
    <w:p w:rsidR="000B362B" w:rsidRDefault="00477637">
      <w:pPr>
        <w:pStyle w:val="ab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>Телефон: 265-39-58</w:t>
      </w:r>
    </w:p>
    <w:p w:rsidR="000B362B" w:rsidRDefault="00477637" w:rsidP="00477637">
      <w:pPr>
        <w:pStyle w:val="ab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 xml:space="preserve">Электронная почта: </w:t>
      </w:r>
      <w:hyperlink r:id="rId14" w:history="1">
        <w:r>
          <w:rPr>
            <w:rStyle w:val="a4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ok</w:t>
        </w:r>
        <w:r>
          <w:rPr>
            <w:rStyle w:val="a4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@</w:t>
        </w:r>
        <w:proofErr w:type="spellStart"/>
        <w:r>
          <w:rPr>
            <w:rStyle w:val="a4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tpp</w:t>
        </w:r>
        <w:proofErr w:type="spellEnd"/>
        <w:r>
          <w:rPr>
            <w:rStyle w:val="a4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74.</w:t>
        </w:r>
        <w:proofErr w:type="spellStart"/>
        <w:r>
          <w:rPr>
            <w:rStyle w:val="a4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sectPr w:rsidR="000B36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62B" w:rsidRDefault="00477637">
      <w:pPr>
        <w:spacing w:after="0" w:line="240" w:lineRule="auto"/>
      </w:pPr>
      <w:r>
        <w:separator/>
      </w:r>
    </w:p>
  </w:endnote>
  <w:endnote w:type="continuationSeparator" w:id="0">
    <w:p w:rsidR="000B362B" w:rsidRDefault="00477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62B" w:rsidRDefault="00477637">
      <w:pPr>
        <w:spacing w:after="0" w:line="240" w:lineRule="auto"/>
      </w:pPr>
      <w:r>
        <w:separator/>
      </w:r>
    </w:p>
  </w:footnote>
  <w:footnote w:type="continuationSeparator" w:id="0">
    <w:p w:rsidR="000B362B" w:rsidRDefault="00477637">
      <w:pPr>
        <w:spacing w:after="0" w:line="240" w:lineRule="auto"/>
      </w:pPr>
      <w:r>
        <w:continuationSeparator/>
      </w:r>
    </w:p>
  </w:footnote>
  <w:footnote w:id="1">
    <w:p w:rsidR="000B362B" w:rsidRDefault="00477637">
      <w:pPr>
        <w:pStyle w:val="a8"/>
        <w:keepNext/>
        <w:widowControl/>
        <w:tabs>
          <w:tab w:val="left" w:pos="1418"/>
        </w:tabs>
        <w:ind w:left="0" w:firstLine="0"/>
        <w:jc w:val="both"/>
        <w:rPr>
          <w:sz w:val="20"/>
          <w:szCs w:val="20"/>
        </w:rPr>
      </w:pPr>
      <w:r>
        <w:rPr>
          <w:rStyle w:val="aa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За исключением</w:t>
      </w:r>
      <w:r>
        <w:rPr>
          <w:sz w:val="20"/>
          <w:szCs w:val="20"/>
        </w:rPr>
        <w:t xml:space="preserve"> специальной номинации </w:t>
      </w:r>
      <w:r>
        <w:rPr>
          <w:bCs/>
          <w:sz w:val="20"/>
          <w:szCs w:val="20"/>
        </w:rPr>
        <w:t xml:space="preserve">«Лучшая банковская программа для МСП», по которой не предусмотрено проведение регионального этапа. </w:t>
      </w:r>
    </w:p>
  </w:footnote>
  <w:footnote w:id="2">
    <w:p w:rsidR="000B362B" w:rsidRDefault="00477637">
      <w:pPr>
        <w:pStyle w:val="a8"/>
        <w:keepNext/>
        <w:widowControl/>
        <w:tabs>
          <w:tab w:val="left" w:pos="1418"/>
        </w:tabs>
        <w:ind w:left="0" w:firstLine="0"/>
        <w:jc w:val="both"/>
        <w:rPr>
          <w:sz w:val="20"/>
          <w:szCs w:val="20"/>
        </w:rPr>
      </w:pPr>
      <w:r>
        <w:rPr>
          <w:rStyle w:val="aa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За исключением</w:t>
      </w:r>
      <w:r>
        <w:rPr>
          <w:sz w:val="20"/>
          <w:szCs w:val="20"/>
        </w:rPr>
        <w:t xml:space="preserve"> специальной номинации </w:t>
      </w:r>
      <w:r>
        <w:rPr>
          <w:bCs/>
          <w:sz w:val="20"/>
          <w:szCs w:val="20"/>
        </w:rPr>
        <w:t>«Лучшая банковская программа для МСП», по которой утверждается отдельный порядок  подачи заявок и отбора победителей</w:t>
      </w:r>
      <w:r>
        <w:rPr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10F59"/>
    <w:multiLevelType w:val="hybridMultilevel"/>
    <w:tmpl w:val="0C22C22E"/>
    <w:lvl w:ilvl="0" w:tplc="DD6ACB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62FD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DA81C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47811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A7416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DA6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0C44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E880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A023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594FD1"/>
    <w:multiLevelType w:val="hybridMultilevel"/>
    <w:tmpl w:val="B3843CE8"/>
    <w:lvl w:ilvl="0" w:tplc="3F7E4A34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>
    <w:nsid w:val="37BB3EA5"/>
    <w:multiLevelType w:val="hybridMultilevel"/>
    <w:tmpl w:val="F746D8FA"/>
    <w:lvl w:ilvl="0" w:tplc="EEEECE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23E7990"/>
    <w:multiLevelType w:val="hybridMultilevel"/>
    <w:tmpl w:val="C826FF1A"/>
    <w:lvl w:ilvl="0" w:tplc="31D635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A862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D0C8E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B1255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69457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5186A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844CC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9CC0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41070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B85773"/>
    <w:multiLevelType w:val="hybridMultilevel"/>
    <w:tmpl w:val="598604FE"/>
    <w:lvl w:ilvl="0" w:tplc="06AEC4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BE0A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638B1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E3661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46463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02C8F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B24B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F7656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2BAFE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FF0607"/>
    <w:multiLevelType w:val="hybridMultilevel"/>
    <w:tmpl w:val="C9C63C02"/>
    <w:lvl w:ilvl="0" w:tplc="96223E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1812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73C28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F882A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FD441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99A14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26071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01627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2236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0C36E1"/>
    <w:multiLevelType w:val="hybridMultilevel"/>
    <w:tmpl w:val="179AAEBE"/>
    <w:lvl w:ilvl="0" w:tplc="592080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02E39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BCDD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0B0DB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E0E3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8FC6D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9627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8FAFE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662A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5478FD"/>
    <w:multiLevelType w:val="hybridMultilevel"/>
    <w:tmpl w:val="861AF4FC"/>
    <w:lvl w:ilvl="0" w:tplc="EEEECE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102712"/>
    <w:multiLevelType w:val="hybridMultilevel"/>
    <w:tmpl w:val="412463CA"/>
    <w:lvl w:ilvl="0" w:tplc="EEEECEE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62B"/>
    <w:rsid w:val="000B362B"/>
    <w:rsid w:val="0047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6">
    <w:name w:val="Body Text"/>
    <w:basedOn w:val="a"/>
    <w:link w:val="a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paragraph" w:styleId="a8">
    <w:name w:val="List Paragraph"/>
    <w:aliases w:val="ПАРАГРАФ,Абзац списка для документа,Абзац списка4,Абзац списка основной,Table-Normal,RSHB_Table-Normal,Маркеры Абзац списка,Варианты ответов,Абзац списка2,Список точки,Абзац списка ЭкспертЪ,Заголовок 3 -третий уровень,Таймс 14 по серединке"/>
    <w:basedOn w:val="a"/>
    <w:link w:val="a9"/>
    <w:uiPriority w:val="34"/>
    <w:qFormat/>
    <w:pPr>
      <w:widowControl w:val="0"/>
      <w:spacing w:after="0" w:line="240" w:lineRule="auto"/>
      <w:ind w:left="2090" w:hanging="360"/>
    </w:pPr>
    <w:rPr>
      <w:rFonts w:ascii="Times New Roman" w:eastAsia="Times New Roman" w:hAnsi="Times New Roman" w:cs="Times New Roman"/>
    </w:rPr>
  </w:style>
  <w:style w:type="character" w:customStyle="1" w:styleId="a9">
    <w:name w:val="Абзац списка Знак"/>
    <w:aliases w:val="ПАРАГРАФ Знак,Абзац списка для документа Знак,Абзац списка4 Знак,Абзац списка основной Знак,Table-Normal Знак,RSHB_Table-Normal Знак,Маркеры Абзац списка Знак,Варианты ответов Знак,Абзац списка2 Знак,Список точки Знак"/>
    <w:link w:val="a8"/>
    <w:uiPriority w:val="34"/>
    <w:locked/>
    <w:rPr>
      <w:rFonts w:ascii="Times New Roman" w:eastAsia="Times New Roman" w:hAnsi="Times New Roman" w:cs="Times New Roman"/>
    </w:rPr>
  </w:style>
  <w:style w:type="character" w:styleId="aa">
    <w:name w:val="footnote reference"/>
    <w:uiPriority w:val="99"/>
    <w:rPr>
      <w:vertAlign w:val="superscript"/>
    </w:rPr>
  </w:style>
  <w:style w:type="paragraph" w:styleId="ab">
    <w:name w:val="Body Text Indent"/>
    <w:basedOn w:val="a"/>
    <w:link w:val="ac"/>
    <w:uiPriority w:val="99"/>
    <w:unhideWhenUsed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6">
    <w:name w:val="Body Text"/>
    <w:basedOn w:val="a"/>
    <w:link w:val="a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paragraph" w:styleId="a8">
    <w:name w:val="List Paragraph"/>
    <w:aliases w:val="ПАРАГРАФ,Абзац списка для документа,Абзац списка4,Абзац списка основной,Table-Normal,RSHB_Table-Normal,Маркеры Абзац списка,Варианты ответов,Абзац списка2,Список точки,Абзац списка ЭкспертЪ,Заголовок 3 -третий уровень,Таймс 14 по серединке"/>
    <w:basedOn w:val="a"/>
    <w:link w:val="a9"/>
    <w:uiPriority w:val="34"/>
    <w:qFormat/>
    <w:pPr>
      <w:widowControl w:val="0"/>
      <w:spacing w:after="0" w:line="240" w:lineRule="auto"/>
      <w:ind w:left="2090" w:hanging="360"/>
    </w:pPr>
    <w:rPr>
      <w:rFonts w:ascii="Times New Roman" w:eastAsia="Times New Roman" w:hAnsi="Times New Roman" w:cs="Times New Roman"/>
    </w:rPr>
  </w:style>
  <w:style w:type="character" w:customStyle="1" w:styleId="a9">
    <w:name w:val="Абзац списка Знак"/>
    <w:aliases w:val="ПАРАГРАФ Знак,Абзац списка для документа Знак,Абзац списка4 Знак,Абзац списка основной Знак,Table-Normal Знак,RSHB_Table-Normal Знак,Маркеры Абзац списка Знак,Варианты ответов Знак,Абзац списка2 Знак,Список точки Знак"/>
    <w:link w:val="a8"/>
    <w:uiPriority w:val="34"/>
    <w:locked/>
    <w:rPr>
      <w:rFonts w:ascii="Times New Roman" w:eastAsia="Times New Roman" w:hAnsi="Times New Roman" w:cs="Times New Roman"/>
    </w:rPr>
  </w:style>
  <w:style w:type="character" w:styleId="aa">
    <w:name w:val="footnote reference"/>
    <w:uiPriority w:val="99"/>
    <w:rPr>
      <w:vertAlign w:val="superscript"/>
    </w:rPr>
  </w:style>
  <w:style w:type="paragraph" w:styleId="ab">
    <w:name w:val="Body Text Indent"/>
    <w:basedOn w:val="a"/>
    <w:link w:val="ac"/>
    <w:uiPriority w:val="99"/>
    <w:unhideWhenUsed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ldmercury.ru/usloviya/" TargetMode="External"/><Relationship Id="rId13" Type="http://schemas.openxmlformats.org/officeDocument/2006/relationships/hyperlink" Target="https://lk.tpprf.ru/docflo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k.tpprf.ru/service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k.tpprf.ru/registratio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oldmercury.ru/uslov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ldmercury.ru/bitrix/%D0%9A%D1%80%D0%B8%D1%82%D0%B5%D1%80%D0%B8%D0%B8%20%D0%BE%D1%82%D0%B1%D0%BE%D1%80%D0%B0%20%D0%B4%D0%BB%D1%8F%20%D1%81%D0%BF%D0%B5%D1%86%D0%BD%D0%BE%D0%BC%D0%B8%D0%BD%D0%B0%D1%86%D0%B8%D0%B9%202022%20new.doc" TargetMode="External"/><Relationship Id="rId14" Type="http://schemas.openxmlformats.org/officeDocument/2006/relationships/hyperlink" Target="mailto:ok@tpp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3894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Наталья Юрьевна</dc:creator>
  <cp:lastModifiedBy>Зиновьева Ольга Николаевна</cp:lastModifiedBy>
  <cp:revision>2</cp:revision>
  <dcterms:created xsi:type="dcterms:W3CDTF">2026-02-13T05:23:00Z</dcterms:created>
  <dcterms:modified xsi:type="dcterms:W3CDTF">2026-02-13T05:23:00Z</dcterms:modified>
</cp:coreProperties>
</file>