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szCs w:val="26"/>
        </w:rPr>
        <w:t xml:space="preserve">Отчет об исполнении плана мероприятий («дорожная карта») по содействию развитию конкуренции </w:t>
      </w:r>
    </w:p>
    <w:p>
      <w:pPr>
        <w:pStyle w:val="Normal"/>
        <w:jc w:val="center"/>
        <w:rPr/>
      </w:pPr>
      <w:r>
        <w:rPr>
          <w:szCs w:val="26"/>
        </w:rPr>
        <w:t>в Копейском городском округе в 2025 году</w:t>
      </w:r>
    </w:p>
    <w:p>
      <w:pPr>
        <w:pStyle w:val="Normal"/>
        <w:jc w:val="center"/>
        <w:rPr/>
      </w:pPr>
      <w:r>
        <w:rPr>
          <w:szCs w:val="26"/>
        </w:rPr>
        <w:t>(далее – городской округ)</w:t>
      </w:r>
    </w:p>
    <w:p>
      <w:pPr>
        <w:pStyle w:val="Normal"/>
        <w:jc w:val="center"/>
        <w:rPr>
          <w:szCs w:val="26"/>
        </w:rPr>
      </w:pPr>
      <w:r>
        <w:rPr>
          <w:szCs w:val="26"/>
        </w:rPr>
      </w:r>
    </w:p>
    <w:p>
      <w:pPr>
        <w:pStyle w:val="Normal"/>
        <w:jc w:val="center"/>
        <w:rPr>
          <w:szCs w:val="26"/>
        </w:rPr>
      </w:pPr>
      <w:r>
        <w:rPr>
          <w:szCs w:val="26"/>
          <w:lang w:val="en-US"/>
        </w:rPr>
        <w:t>II</w:t>
      </w:r>
      <w:r>
        <w:rPr>
          <w:szCs w:val="26"/>
        </w:rPr>
        <w:t>. Ключевые показатели развития конкуренции на товарных рынках</w:t>
      </w:r>
    </w:p>
    <w:p>
      <w:pPr>
        <w:pStyle w:val="Normal"/>
        <w:rPr>
          <w:szCs w:val="26"/>
        </w:rPr>
      </w:pPr>
      <w:r>
        <w:rPr>
          <w:szCs w:val="26"/>
        </w:rPr>
      </w:r>
    </w:p>
    <w:tbl>
      <w:tblPr>
        <w:tblW w:w="146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12300"/>
        <w:gridCol w:w="1279"/>
        <w:gridCol w:w="1106"/>
      </w:tblGrid>
      <w:tr>
        <w:trPr>
          <w:trHeight w:val="1013" w:hRule="atLeast"/>
        </w:trPr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Наименование ключевого показателя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2025 год (план)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2025 год  (факт)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40" w:leader="none"/>
              </w:tabs>
              <w:ind w:hanging="0" w:left="5"/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оказания услуг по сбору и транспортированию твердых коммунальных отходов (далее ТКО)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Доля организаций частной формы собственности в сфере услуг по сбору и транспортированию ТКО,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Доля объема твердых коммунальных отходов, транспортируемых организациями частных форм собственности (не государственными и не муниципальными организациями) и не аффилированными с региональным оператором по обращению с твердыми коммунальными отходами,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31" w:leader="none"/>
              </w:tabs>
              <w:ind w:hanging="0" w:left="5"/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>
        <w:trPr>
          <w:trHeight w:val="680" w:hRule="atLeast"/>
        </w:trPr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17,6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25" w:leader="none"/>
              </w:tabs>
              <w:ind w:hanging="0" w:left="5"/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96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Cs w:val="26"/>
              </w:rPr>
              <w:t>9</w:t>
            </w:r>
            <w:r>
              <w:rPr>
                <w:b w:val="false"/>
                <w:bCs w:val="false"/>
                <w:szCs w:val="26"/>
              </w:rPr>
              <w:t>5,7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25" w:leader="none"/>
              </w:tabs>
              <w:ind w:hanging="0" w:left="5"/>
              <w:rPr>
                <w:b/>
                <w:szCs w:val="26"/>
              </w:rPr>
            </w:pPr>
            <w:r>
              <w:rPr>
                <w:b/>
                <w:szCs w:val="26"/>
              </w:rPr>
              <w:t>Торговля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Увеличение количества нестационарных торговых объектов и торговых мест под них по отношению к 2020 году, процентов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90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95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25" w:leader="none"/>
              </w:tabs>
              <w:ind w:hanging="0" w:left="5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ритуальных услуг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Доля кладбищ и мест захоронений на них, сведения о которых включены в реестры кладбищ и мест захоронений на них, от общего количества существующих кладбищ,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  <w:vertAlign w:val="superscript"/>
              </w:rPr>
            </w:pPr>
            <w:r>
              <w:rPr>
                <w:szCs w:val="26"/>
              </w:rPr>
              <w:t>Доля организаций частной формы собственности в сфере ритуальных услуг,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50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25" w:leader="none"/>
              </w:tabs>
              <w:ind w:hanging="0" w:left="5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услуг детского отдыха и оздоровления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6"/>
              </w:rPr>
            </w:pPr>
            <w:r>
              <w:rPr>
                <w:szCs w:val="26"/>
              </w:rPr>
              <w:t>Доля организаций отдыха и оздоровления частной формы собственности,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13,3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40" w:leader="none"/>
              </w:tabs>
              <w:ind w:hanging="0" w:left="5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теплоснабжения (производство тепловой энергии)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Доля организаций частной формы собственности в сфере теплоснабжения (производство тепловой энергии),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6"/>
              </w:rPr>
              <w:t>100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25" w:leader="none"/>
              </w:tabs>
              <w:ind w:hanging="0" w:left="5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выполнения работ по благоустройству городской среды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Доля организаций частной формы собственности в сфере выполнения работ по благоустройству городской среды,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6"/>
              </w:rPr>
              <w:t>100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40" w:leader="none"/>
              </w:tabs>
              <w:ind w:hanging="0" w:left="5"/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6"/>
              </w:rPr>
              <w:t>100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40" w:leader="none"/>
              </w:tabs>
              <w:ind w:hanging="0" w:left="5"/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услуг связи, в том числе услуг по предоставлению широкополосного доступа к информационно – телекоммуникационной сети Интернет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jc w:val="both"/>
              <w:rPr>
                <w:szCs w:val="26"/>
              </w:rPr>
            </w:pPr>
            <w:r>
              <w:rPr>
                <w:szCs w:val="26"/>
              </w:rPr>
              <w:t>Доля организаций частной формы собственности в сфере оказания услуг по предоставлению широкополосного доступа к информационно – телекоммуникационной сети Интернет,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</w:r>
          </w:p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</w:r>
          </w:p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10" w:leader="none"/>
              </w:tabs>
              <w:ind w:hanging="0" w:left="5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дорожной деятельности (за исключением проектирования)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Доля организаций частной формы собственности в сфере дорожной деятельности (за исключением проектирования),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40" w:leader="none"/>
              </w:tabs>
              <w:ind w:hanging="0" w:left="5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легкой промышленности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Доля организаций частной формы собственности в сфере легкой промышленности,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40" w:leader="none"/>
              </w:tabs>
              <w:ind w:hanging="0" w:left="5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поставки сжиженного газа в баллонах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Доля организаций частной формы собственности в сфере поставки сжиженного газа в баллонах,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25" w:leader="none"/>
              </w:tabs>
              <w:ind w:hanging="0" w:left="5"/>
              <w:rPr>
                <w:b/>
                <w:szCs w:val="26"/>
              </w:rPr>
            </w:pPr>
            <w:r>
              <w:rPr>
                <w:b/>
                <w:szCs w:val="26"/>
              </w:rPr>
              <w:t>Рынок оказания услуг по ремонту автотранспортных средств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40" w:after="0"/>
              <w:jc w:val="both"/>
              <w:rPr>
                <w:szCs w:val="26"/>
              </w:rPr>
            </w:pPr>
            <w:r>
              <w:rPr>
                <w:szCs w:val="26"/>
              </w:rPr>
              <w:t>Доля организаций частной формы собственности в сфере оказания услуг по ремонту автотранспортных средств,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</w:r>
          </w:p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</w:r>
          </w:p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</w:tr>
      <w:tr>
        <w:trPr/>
        <w:tc>
          <w:tcPr>
            <w:tcW w:w="1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440" w:leader="none"/>
              </w:tabs>
              <w:ind w:hanging="0" w:left="5"/>
              <w:rPr>
                <w:b/>
                <w:szCs w:val="26"/>
              </w:rPr>
            </w:pPr>
            <w:r>
              <w:rPr>
                <w:b/>
                <w:szCs w:val="26"/>
              </w:rPr>
              <w:t>Сфера наружной рекламы</w:t>
            </w:r>
          </w:p>
        </w:tc>
      </w:tr>
      <w:tr>
        <w:trPr/>
        <w:tc>
          <w:tcPr>
            <w:tcW w:w="1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6"/>
              </w:rPr>
            </w:pPr>
            <w:r>
              <w:rPr>
                <w:szCs w:val="26"/>
              </w:rPr>
              <w:t>Доля организаций частной формы собственности в сфере наружной рекламы, процентов*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</w:tr>
    </w:tbl>
    <w:p>
      <w:pPr>
        <w:pStyle w:val="Normal"/>
        <w:rPr>
          <w:szCs w:val="26"/>
        </w:rPr>
      </w:pPr>
      <w:r>
        <w:rPr>
          <w:szCs w:val="26"/>
        </w:rPr>
        <w:t>* в соответствии с Методикой расчета ключевого показателя, утвержденной приказом ФАС России от 29.08.2018 № 1232/18</w:t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spacing w:lineRule="auto" w:line="259"/>
        <w:jc w:val="center"/>
        <w:rPr>
          <w:szCs w:val="26"/>
        </w:rPr>
      </w:pPr>
      <w:r>
        <w:rPr>
          <w:szCs w:val="26"/>
          <w:lang w:val="en-US"/>
        </w:rPr>
        <w:t>III</w:t>
      </w:r>
      <w:r>
        <w:rPr>
          <w:szCs w:val="26"/>
        </w:rPr>
        <w:t>. План мероприятий («дорожная карта») по содействию развитию конкуренции в городском округе</w:t>
        <w:br/>
        <w:t>на 2022-2025 годы</w:t>
      </w:r>
    </w:p>
    <w:p>
      <w:pPr>
        <w:pStyle w:val="Normal"/>
        <w:jc w:val="center"/>
        <w:rPr>
          <w:szCs w:val="26"/>
        </w:rPr>
      </w:pPr>
      <w:r>
        <w:rPr>
          <w:szCs w:val="26"/>
        </w:rPr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Мероприятия на товарных рынках</w:t>
      </w:r>
    </w:p>
    <w:tbl>
      <w:tblPr>
        <w:tblW w:w="14745" w:type="dxa"/>
        <w:jc w:val="left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702"/>
        <w:gridCol w:w="3748"/>
        <w:gridCol w:w="3181"/>
        <w:gridCol w:w="24"/>
        <w:gridCol w:w="1420"/>
        <w:gridCol w:w="5670"/>
      </w:tblGrid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п/п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Ожидаемый результат (цель)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Срок 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реализации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(год)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Информация об исполнении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  <w:t>1. Рынок услуг по сбору и транспортированию твердых коммунальных отходов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  <w:t>Развитие системы селективного сбора ТКО: устройство контейнерных площадок установка новых контейнеров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  <w:t>Создание условий, обеспечивающих наиболее комфортные условия для проживания, работы и отдыха  населения городского округа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Cs w:val="26"/>
              </w:rPr>
              <w:t>В 2025 году в рамках муниципальной программы «Охрана окружающей среды Копейского городского округа» денежные средства в размере 7170401,06 рублей (в том числе областной бюджет — 5178622,99 рублей и местный бюджет — 1991778,07 рублей) на мероприятия по обустройству мест (площадок) накопления ТКО.</w:t>
            </w:r>
          </w:p>
          <w:p>
            <w:pPr>
              <w:pStyle w:val="Normal"/>
              <w:jc w:val="both"/>
              <w:rPr/>
            </w:pPr>
            <w:r>
              <w:rPr>
                <w:szCs w:val="26"/>
              </w:rPr>
              <w:t>На территории городского округа:</w:t>
            </w:r>
          </w:p>
          <w:p>
            <w:pPr>
              <w:pStyle w:val="Normal"/>
              <w:jc w:val="both"/>
              <w:rPr/>
            </w:pPr>
            <w:r>
              <w:rPr>
                <w:szCs w:val="26"/>
              </w:rPr>
              <w:t>- уровень обустройства контейнерных площадок составил 64,64%;</w:t>
            </w:r>
          </w:p>
          <w:p>
            <w:pPr>
              <w:pStyle w:val="Normal"/>
              <w:jc w:val="both"/>
              <w:rPr/>
            </w:pPr>
            <w:r>
              <w:rPr>
                <w:szCs w:val="26"/>
              </w:rPr>
              <w:t>- уровень обеспеченности контейнерным сбором ТКО составил 96,67%.</w:t>
            </w:r>
          </w:p>
          <w:p>
            <w:pPr>
              <w:pStyle w:val="Normal"/>
              <w:jc w:val="both"/>
              <w:rPr/>
            </w:pPr>
            <w:r>
              <w:rPr>
                <w:szCs w:val="26"/>
              </w:rPr>
              <w:t>Контейнеры для накопления ТКО не приобретали в 2025 году.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  <w:t>Стимулирование новых предпринимательских инициатив и частной инициативы по транспортированию ТКО посредством проведения «круглых столов», вебинаров, консультаций с действующими и потенциальными предпринимателями и коммерческими организациями.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  <w:t>Образовательные мероприятия могут обеспечить возможность для поиска, отбора и обучения потенциальных предпринимателей и некоммерческих организаций с целью стимулирования новых предпринимательских инициатив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В 2025 г. «круглые столы», вебинары по вопросам транспортировки ТКО не проводились.</w:t>
            </w:r>
          </w:p>
          <w:p>
            <w:pPr>
              <w:pStyle w:val="Normal"/>
              <w:jc w:val="both"/>
              <w:rPr/>
            </w:pPr>
            <w:r>
              <w:rPr>
                <w:szCs w:val="26"/>
              </w:rPr>
              <w:t>Субъекты предпринимательства по вопросу ведения деятельности в указанной сфере за консультацией не обращались.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Сбор, анализ и формирование предложений о внесении изменений в маршрутную сеть муниципального образования, а также сеть межмуниципальных маршрутов регулярных перевозок, проходящих через муниципальное образование, путём отмены, изменения, установления маршрутов регулярных перевозок с целью удовлетворения потребности населения в транспортном обслуживании на территории муниципального образования.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Удовлетворение в полном объёме потребностей населения в перевозках, развитие сектора регулярных перевозок в населённых пунктах муниципального образования с неудовлетворительной транспортной доступностью населения.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На основании Закона Челябинской области от 30.12.2019 № 71-ЗО «О перераспределении полномочий по организации регулярных перевозок пассажиров и багажа между органами местного самоуправления Челябинского городского округа, Копейского городского округа (далее КГО), Сосновского муниципального района и органами государственной власти Челябинской области» вопросы по развитию конкуренции рынка оказания услуг по перевозке пассажиров автомобильным транспортом по муниципальным маршрутам регулярных перевозок КГО, в том числе изменение, отмена и установление муниципальных маршрутов - являются компетенцией органов государственной власти Челябинской области.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На территории городского округа с целью обеспечения транспортного обслуживания населения добавлены рейсы на муниципальные маршруты №№ 2, 5, 7, 10, 18, 18К, 19, 41 скорректировано расписание и схемы движения по маршрутам №№ 2, 7, 10, 18, 18К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Размещение информации о расписании общественного транспорта общего пользования и схем движения на остановочных пунктах, разворотных площадках и транспортно-пересадочных узлах улично-дорожной сети муниципального образования, а также размещение расписания, схем движения и контактных данных уполномоченных в обеспечении организации движения общественного транспорта по маршрутам регулярных перевозок на территории муниципального образования отделов (лиц) органов местного самоуправления, перевозчиков, органов субъекта федерации и контролирующих органов в открытом доступе в информационно-телекоммуникационной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Обеспечение максимальной доступности информации и прозрачности условий работы на рынке пассажирских перевозок наземным транспортом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Hyperlink"/>
                <w:color w:val="000000"/>
                <w:u w:val="none"/>
              </w:rPr>
              <w:t>В 2025 году 2 новых павильонов остановочных пунктов общественного транспорта оборудованы схемой движения городских маршрутов, а также 48 павильонов расписанием. Схема движения и расписание муниципальных маршрутов регулярных перевозок также размещены и актуализируются на официальном сайте Муниципального унитарного предприятия «Копейское пассажирское автопредприятие» (МУП КПА) https://mupkpa.su/ а также в группе «ВКонтакте» МУП КПА https://vk.com/mupkpa74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rStyle w:val="Hyperlink"/>
                <w:color w:val="000000"/>
                <w:u w:val="none"/>
              </w:rPr>
              <w:t xml:space="preserve">Информация о параметрах межмуниципальных маршрутов регулярных перевозок Челябинской области, проходящих через территорию Копейского городского округа (сведения о перевозчиках, классах и количестве автобусов, наименованиях улиц и автомобильных дорог, остановочных пунктов на пути следования маршрутов, расписание движения) размещены на официальном сайте Министерства дорожного хозяйства и транспорта Челябинской области </w:t>
            </w:r>
            <w:hyperlink r:id="rId2">
              <w:r>
                <w:rPr>
                  <w:rStyle w:val="Hyperlink"/>
                  <w:color w:val="000000"/>
                  <w:u w:val="none"/>
                </w:rPr>
                <w:t>https://mindortrans.gov74.ru/mindortrans/activities/Transport/Marsrutyobsestvennogotransporta/Reestrmarsrutov.htm</w:t>
              </w:r>
            </w:hyperlink>
          </w:p>
          <w:p>
            <w:pPr>
              <w:pStyle w:val="Normal"/>
              <w:jc w:val="both"/>
              <w:rPr>
                <w:rStyle w:val="Hyperlink"/>
                <w:color w:val="000000"/>
                <w:u w:val="none"/>
              </w:rPr>
            </w:pPr>
            <w:r>
              <w:rPr>
                <w:color w:val="000000"/>
                <w:u w:val="none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3)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Создание и развитие частного сектора по перевозке пассажиров автотранспортом по муниципальным маршрутам регулярных перевозок, путём реорганизации Муниципальных унитарных предприятий, осуществляющих данный вид деятельности в иные организационно-правовые формы, создание благоприятных условий субъектам транспортной инфраструктуры, создание условий, обеспечивающих безопасное и качественное предоставление услуг по перевозке пассажиров.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Увеличение количества перевозчиков негосударственных форм собственности, обеспечение условий безопасного и качественного предоставления услуг по перевозке пассажиров.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На основании Закона Челябинской области от 30.12.2019 № 71-ЗО «О перераспределении полномочий по организации регулярных перевозок пассажиров и багажа между органами местного самоуправления Челябинского городского округа, Копейского городского округа (далее КГО), Сосновского муниципального района и органами государственной власти Челябинской области» вопросы по развитию конкуренции рынка оказания услуг по перевозке пассажиров автомобильным транспортом по муниципальным маршрутам регулярных перевозок КГО, в том числе изменение, отмена и установление муниципальных маршрутов - являются компетенцией органов государственной власти Челябинской области.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 перевозчика на осуществление перевозок по муниципальным и межмуниципальным маршрутам регулярных перевозок как по регулируемому, так и не по регулируемому тарифу на территории Челябинской области определяется по результатам проведения открытых аукционов и конкурсов, не зависимо от формы собственности участников данных процедур.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течении года, с целью обеспечения создания условий безопасного и качественного оказания услуг по перевозке пассажиров: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 декабре 2025 года муниципальное унитарное предприятие «Копейское пассажирское автопредприятие»  по федеральной программе в рамках национального проекта «Инфраструктура для жизни», федерального проекта «Развитие общественного транспорта» за счет собственных средств приобрело в лизинг 5 новых городских автобусов большого класса марки «НЕФАЗ-5299-0000040-57», работающих на компримированном природном газе, оборудованные низким уровнем пола, светодиодными табло, речевыми информаторами и пандусами для обеспечения маломобильных групп населения;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оборудовано </w:t>
            </w:r>
            <w:r>
              <w:rPr>
                <w:b w:val="false"/>
                <w:bCs w:val="false"/>
                <w:color w:val="000000"/>
              </w:rPr>
              <w:t>48</w:t>
            </w:r>
            <w:r>
              <w:rPr>
                <w:color w:val="000000"/>
              </w:rPr>
              <w:t xml:space="preserve"> остановочных пунктов общественного транспорта. Также, в рамках содержания и ремонта автомобильных дорог выполнен ямочный ремонт</w:t>
            </w:r>
          </w:p>
        </w:tc>
      </w:tr>
      <w:tr>
        <w:trPr>
          <w:trHeight w:val="425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4)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Участие в совместных мероприятиях с уполномоченными органами федеральной исполнительной власти и исполнительной власти муниципального образования по пресечению деятельности по перевозке пассажиров по муниципальным и межмуниципальным маршрутам регулярных перевозок на территории муниципального образования без заключенных контрактов или выданных свидетельств об осуществлении перевозок по маршрутам регулярных перевозок</w:t>
            </w:r>
          </w:p>
          <w:p>
            <w:pPr>
              <w:pStyle w:val="Normal"/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Контроль за обеспечением на рынке только легальных перевозчиков, вытеснение с рынка нелегальных перевозчиков, в случае их выявления.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Cs w:val="26"/>
              </w:rPr>
            </w:pPr>
            <w:r>
              <w:rPr>
                <w:color w:themeColor="text1" w:val="000000"/>
                <w:szCs w:val="26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Перевозчики, осуществляющие перевозку пассажиров и багажа, без заключенных контрактов, выданных свидетельств и карт маршрутов регулярных перевозок, на территории городского округа отсутствуют. Данный вопрос контролируется органами Ространснадзора области и ОГКУ «Организатором перевозок Челябинской области».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3. Рынок услуг розничной торговли лекарственными препаратами, медицинскими изделиями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  <w:t>Оказание консультационной помощи субъектам малого и среднего предпринимательства по вопросам лицензирования фармацевтической деятельности, а также по организации торговой деятельности и соблюдению законодательства в сфере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Повышение информационной грамотности предпринимателей, осуществляющих хозяйственную деятельность на рынке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2025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Cs w:val="26"/>
              </w:rPr>
              <w:t>В управлении экономического развития работает информационно-консультационный центр.</w:t>
            </w:r>
          </w:p>
          <w:p>
            <w:pPr>
              <w:pStyle w:val="Normal"/>
              <w:jc w:val="both"/>
              <w:rPr/>
            </w:pPr>
            <w:r>
              <w:rPr>
                <w:szCs w:val="26"/>
              </w:rPr>
              <w:t>За консультациями по вопросам лицензирования фармацевтической деятельности, а также по организации торговой деятельности и соблюдению законодательства в сфере розничной торговли лекарственными препаратами, медицинскими изделиями и сопутствующими товарами субъекты малого и среднего предпринимательства не обращались.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4. Торговля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Проведение открытых опросов субъектов предпринимательской деятельности в целях определения спроса/потребности в предоставлении мест под размещение нестационарных торговых объектов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Увеличение количества нестационарных и мобильных торговых объектов и торговых мест под них не менее чем на 10 процентов к 2025 году по отношению к 2020 году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/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color w:val="000000"/>
                <w:szCs w:val="27"/>
                <w:shd w:fill="FFFFFF" w:val="clear"/>
              </w:rPr>
            </w:pPr>
            <w:r>
              <w:rPr>
                <w:rFonts w:eastAsia="Calibri"/>
                <w:color w:val="000000"/>
                <w:szCs w:val="27"/>
                <w:shd w:fill="FFFFFF" w:val="clear"/>
                <w:lang w:eastAsia="en-US"/>
              </w:rPr>
              <w:t>Общая торговая площадь НТО, по которым заключены договоры на размещение, увеличилась за 2025 год на 621,4 кв. метра (рост к 2024 году – 110,8 %).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Ведение торгового реестра городского округа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Создание системы информационного обеспечения в области торговой деятельности городского округа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Ведение торгового реестра осуществляется на постоянной основе специалистом отдела по инвестиционной политике поддержке и развитию предпринимательства. Отчетность по заполнению реестра ежеквартально направляется в Министерство экономического развития Челябинской области.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3)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Актуализация сведений и предоставление дислокации о торговых объектах, объектах общественного питания и бытового обслуживания населения, расположенных на территории городского округа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Создание системы информационного обеспечения в области торговой деятельности городского округа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Дислокации торговых объектов, общественного питания и бытового обслуживания населения, расположенных на территории городского округа актуализируется на постоянной основе. Актуализированная дислокация ежегодно направляется в Министерство экономического развития Челябинской области и размещается на официальном сайте администрации городского округа</w:t>
            </w:r>
            <w:r>
              <w:rPr/>
              <w:t xml:space="preserve"> (</w:t>
            </w:r>
            <w:hyperlink r:id="rId3">
              <w:r>
                <w:rPr>
                  <w:rStyle w:val="Hyperlink"/>
                  <w:rFonts w:cs="Times New Roman" w:ascii="Times New Roman" w:hAnsi="Times New Roman"/>
                  <w:sz w:val="24"/>
                  <w:szCs w:val="26"/>
                  <w:lang w:eastAsia="en-US"/>
                </w:rPr>
                <w:t>https://akgo74.ru/about/predpriyatiya-torgovli-obshchestvennogo-pitaniya-i-bytovogo-obsluzhivaniya.php</w:t>
              </w:r>
            </w:hyperlink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).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4)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актуализация реестра и плана организации розничных рынков городского округа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стимулирование развития розничной торговли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На территории городского округа розничные рынки отсутствуют.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5)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определение и организация новых точек для развития (открытия) юридическими и физическими лицами новых торговых объектов всех форм торговли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увеличение количества нестационарных торговых объектов и различных форм малоформатной торговли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214" w:leader="none"/>
              </w:tabs>
              <w:jc w:val="both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>В 2025 году рассмотрено 49 предложений по внесению изменений в Схему размещения НТО, из них – по 23 предложениям приняты положительные решения. Отказано во включении местонахождения новых нестационарных торговых объектов в проект Схемы размещения НТО по основаниям, предусмотренным п. 17 Порядка разработки и утверждения органами местного самоуправления схемы размещения нестационарных торговых объектов на землях или земельных участках, в зданиях, строениях, сооружениях, находящихся в государственной или муниципальной собственности  (утвержден постановлением Правительства Челябинской области от 25.01.2016 № 5-П).</w:t>
            </w:r>
          </w:p>
        </w:tc>
      </w:tr>
      <w:tr>
        <w:trPr>
          <w:trHeight w:val="2753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6)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Включение новых мест для размещения нестационарных торговых объектов (киосков, павильонов) в схемы размещения нестационарных торговых объектов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Развитие торговли с использованием нестационарных торговых объектов на территории городского округа, размещение доступной информации о компенсационных местах для размещения нестационарных торговых объектов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214" w:leader="none"/>
              </w:tabs>
              <w:jc w:val="both"/>
              <w:rPr/>
            </w:pPr>
            <w:r>
              <w:rPr>
                <w:szCs w:val="26"/>
                <w:lang w:eastAsia="en-US"/>
              </w:rPr>
              <w:t>Рост количества НТО в  2025 году по отношению к 2024 году составил 113,9 %  (прирост 23 ед.). По состоянию  на 01.01.2025  количество мест, включенных в Схему НТО, составило 166 ед., по состоянию на 01.01.2026 -  189 ед., из них фактически используется юридическими лицами и индивидуальными предпринимателями 173 ед. (91,5%).</w:t>
            </w:r>
          </w:p>
          <w:p>
            <w:pPr>
              <w:pStyle w:val="Normal"/>
              <w:tabs>
                <w:tab w:val="clear" w:pos="708"/>
                <w:tab w:val="left" w:pos="9214" w:leader="none"/>
              </w:tabs>
              <w:jc w:val="both"/>
              <w:rPr/>
            </w:pPr>
            <w:r>
              <w:rPr>
                <w:szCs w:val="26"/>
                <w:lang w:eastAsia="en-US"/>
              </w:rPr>
              <w:t>Информация об утвержденных площадках для проведения ярмарок и торговых мест на них, сроки проведения ярмарок, Схема размещения НТО и Схема мобильных торговых объектов размещены на официальном сайте администрации Копейского городского округа (akgo74.ru/about/obekty-nestatsionarnoy-torgovli.php; akgo74.ru/about/razvitie-torgovoy-sfery-kopeyskogo-gorodskogo-okruga.php).</w:t>
            </w:r>
          </w:p>
          <w:p>
            <w:pPr>
              <w:pStyle w:val="Normal"/>
              <w:tabs>
                <w:tab w:val="clear" w:pos="708"/>
                <w:tab w:val="left" w:pos="9214" w:leader="none"/>
              </w:tabs>
              <w:jc w:val="both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9214" w:leader="none"/>
              </w:tabs>
              <w:jc w:val="both"/>
              <w:rPr/>
            </w:pPr>
            <w:r>
              <w:rPr/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7)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Мониторинг розничных цен на определенный перечень социально значимых товаров в разрезе ряда муниципальных образований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Анализ ценовой ситуации на продовольственном рынке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Мониторинг проводится 2 раза в неделю (понедельник, вторник), результаты мониторинга оформляются в электронном виде в системе Единой городской автоматизированной системе информационного обеспечения и аналитике потребительского рынка (ЕГАС СИОПР).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8)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Консультационное и информационно-аналитическое обеспечение участников потребительского рынка, в том числе путем проведения семинаров, совещаний, круглых столов для субъектов предпринимательской деятельности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Доведение актуальной информации до предпринимательского сообщества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течение 2025 года для субъектов малого и среднего предпринимательства: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- на официальном сайте администрации городского округа размещено 38 информационных сообщений;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- предоставлено 97 консультаций;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- проведено 5 мероприятий.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сфере размещения нестационарных торговых объектов (далее — НТО) разъяснительная работа с хозяйствующими субъектами организована и осуществляется посредством: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- устных и письменных консультаций, проводимых специалистами управления по имуществу и земельным отношениям (г. Копейск, ул. Ленина, д. 52, каб. 212,  рабочие дни: с 09-00 час. до 17-00 час., тел. (35139) 40 115, электронная почта: ouzr-ui@akgo74.ru);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- устных  консультаций, проводимых специалистами информационно-консультационного центра, созданного на базе отдела по инвестиционной политике, поддержке и развитию предпринимательства управления экономического   развития администрации Копейского городского    округа (далее – информационно-консультационный   центр, г. Копейск, ул. Ленина, д. 52, каб. 106, 114,  рабочие дни: с 09-00 час. до 17-00 час., тел. (35139) 40 136, 150, электронная почта: torg@akgo74.ru);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- путем размещения печатных материалов по разъяснению проблемных и наиболее часто встречающихся вопросов нормативного регулирования вопросов заключения договоров на размещение НТО на стенде «Предприниматель» информационно-консультационного центра;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- путем размещения информационных материалов о порядке размещения НТО и заключения договора на размещение НТО на официальном сайте администрации Копейского городского округа (akgo74.ru/about/obekty-nestatsionarnoy-torgovli.php;  akgo74.ru/about/razvitie-torgovoy-sfery-kopeyskogo-gorodskogo-okruga.php).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течение отчетного года заявителям дано 29 письменных ответов, разъясняющих особенности размещения НТО на государственных (неразграниченных) и муниципальных землях (земельных участках). В числе заявителей, обратившихся за разъяснениями – физические лица, индивидуальные предприниматели, общественные объединения (АНО «Мы – Народный контроль») и др.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5. Рынок ритуальных услуг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3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Мероприятия по реорганизации муниципальных унитарных предприятий и муниципальных бюджетных учреждений в муниципальные казенные учреждения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Уход муниципалитетов с рынка ритуальных услуг. Муниципальные казенные учреждения оказывают услуги только по гарантированному перечню и содержанию мест захоронения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Муниципальные унитарные предприятия, оказывающие ритуальные услуги, на территории городского округа отсутствуют.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МКУ «Управление благоустройства» </w:t>
            </w:r>
            <w:r>
              <w:rPr>
                <w:rStyle w:val="Docdata"/>
                <w:rFonts w:eastAsia="Arial" w:cs="Times New Roman" w:ascii="Times New Roman" w:hAnsi="Times New Roman"/>
                <w:color w:val="000000"/>
                <w:sz w:val="24"/>
                <w:szCs w:val="24"/>
              </w:rPr>
              <w:t>ведет учет, обслужива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ние и содержание, закрепленных за учреждением кладбищ, расположенных на территории муниципального образования только по гарантированному перечню.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Сбор и анализ информации о состоянии конкурентной среды на рынке ритуальных услуг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Наличие актуальной информации о состоянии рынка ритуальных услуг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По данным Единого реестра субъектов малого и среднего предпринимательства с сайта Федеральной налоговой службы России по состоянию на 1 января 2026 года на территории городского округа зарегистрировано по ОКВЭД: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96.03 – Организация похорон и предоставление связанных с ними услуг 9 субъектов малого и среднего предпринимательства;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47.78.4 - Торговля розничная предметами культового и религиозного назначения, похоронными принадлежностями в специализированных магазинах 4 субъекта малого и среднего предпринимательства.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3)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Размещение на официальном сайте администрации городского округа информации о порядке предоставления и стоимости услуг, предоставляемых согласно гарантированному перечню услуг по погребению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Обеспечение доступа потребителей к информации о порядке предоставления и стоимости услуг по погребению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Информация о порядке предоставления услуг по погребению размещена на официальном сайте управления социальной защиты населения администрации городского округа </w:t>
            </w:r>
            <w:r>
              <w:rPr>
                <w:rStyle w:val="Hyperlink"/>
                <w:rFonts w:cs="Times New Roman" w:ascii="Times New Roman" w:hAnsi="Times New Roman"/>
                <w:sz w:val="24"/>
                <w:szCs w:val="26"/>
                <w:lang w:eastAsia="en-US"/>
              </w:rPr>
              <w:t>https://usznkopeysk.ru/usznkopeysk/other/gosuslugi.htm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4)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организация инвентаризации кладбищ и мест захоронений на них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повышение открытости процедур предоставления мест захоронения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На территории городского округа расположено 9 кладбищ. МКУ «Управление благоустройства» </w:t>
            </w:r>
            <w:r>
              <w:rPr>
                <w:rStyle w:val="Docdata"/>
                <w:rFonts w:eastAsia="Arial" w:cs="Times New Roman" w:ascii="Times New Roman" w:hAnsi="Times New Roman"/>
                <w:color w:val="000000"/>
                <w:sz w:val="24"/>
                <w:szCs w:val="24"/>
              </w:rPr>
              <w:t>ведет учет, обслужива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ние и содержание, закрепленных за учреждением кладбищ.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5)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создание и ведение реестров кладбищ и мест захоронений с размещением указанных реестров на региональных порталах государственных и муниципальных услуг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созданы и размещены на региональных порталах государственных и муниципальных услуг реестры хозяйствующих субъектов, имеющих право на оказание услуг по организации похорон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Реестры кладбищ и мест захоронений не сформированы.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6)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информирование населения городского округа, в том числе с использованием средств массовой информации, о создании реестров кладбищ и мест захоронений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повышение информированности потребителей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Реестры кладбищ и мест захоронений не сформированы.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7)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организация оказания услуг по организации похорон по принципу «одного окна»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развитие конкуренции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2025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Реестры кладбищ и мест захоронений не сформированы.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6. Рынок услуг детского отдыха и оздоровления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Предоставление субсидий местным бюджетам на организацию отдыха детей в каникулярное время, в том числе для направления средств субсидии в частные лагеря в целях поддержки частного бизнеса в развитии инфраструктуры детского отдыха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Развитие сектора организаций отдыха детей и их оздоровления частной формы собственности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На оздоровление и отдых детей и подростков в лагерях с дневным пребыванием предусмотрено из средств областного и местного бюджетов 6827,7 тыс. руб., освоено 100%.</w:t>
            </w:r>
          </w:p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В целях оздоровления и отдыха детей и подростков в загородных лагерях в количестве 2 030 человек из средств областного и местного бюджетов в 2025 году было предусмотрено и направлено 5726,0 тыс. руб.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7. Рынок теплоснабжения (производство тепловой энергии)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мониторинг схем теплоснабжения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разработка и актуализация схем теплоснабжения в соответствии с </w:t>
            </w:r>
            <w:hyperlink r:id="rId4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6"/>
                  <w:u w:val="none"/>
                  <w:lang w:eastAsia="en-US"/>
                </w:rPr>
                <w:t>требованиями</w:t>
              </w:r>
            </w:hyperlink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, утвержденными постановлением Правительства Российской Федерации от                        22 февраля 2012 г. № 154               «О требованиях к схемам теплоснабжения, порядку их разработки и утверждения»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На территории городского округа деятельность по производству тепловой энергии осуществляют 8 организаций.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Документом, содержащим основную информацию о текущем состоянии и перспективном развитии систем теплоснабжения согласно </w:t>
            </w:r>
            <w:hyperlink r:id="rId5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6"/>
                  <w:u w:val="none"/>
                  <w:lang w:eastAsia="en-US"/>
                </w:rPr>
                <w:t>части 4 статьи 4-2</w:t>
              </w:r>
            </w:hyperlink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 Федерального закона от 27 июля 2010 года                      № 190-ФЗ «О теплоснабжении», является схема теплоснабжения.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hyperlink r:id="rId6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6"/>
                  <w:u w:val="none"/>
                  <w:lang w:eastAsia="en-US"/>
                </w:rPr>
                <w:t>Требования</w:t>
              </w:r>
            </w:hyperlink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 к схемам теплоснабжения утверждены постановлением Правительства Российской Федерации от 22.02.2012 № 154 «О требованиях к схемам теплоснабжения, порядку их разработки и утверждения» (далее именуется - постановление Правительства Российской Федерации от 22.02.2012 № 154).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В соответствии с </w:t>
            </w:r>
            <w:hyperlink r:id="rId7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6"/>
                  <w:u w:val="none"/>
                  <w:lang w:eastAsia="en-US"/>
                </w:rPr>
                <w:t>пунктом 10</w:t>
              </w:r>
            </w:hyperlink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 требований к порядку разработки и утверждения схем теплоснабжения, утвержденных постановлением Правительства Российской Федерации от 22.02.2012 № 154 (далее - Требования), схема ежегодно актуализируется.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Утверждение (актуализация) схем теплоснабжения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Увеличение числа организаций частной формы собственности, улучшение качества предоставляемых услуг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Схема теплоснабжения </w:t>
            </w:r>
            <w:r>
              <w:rPr>
                <w:bCs/>
                <w:szCs w:val="28"/>
              </w:rPr>
              <w:t>городского округа на период 2014-2029 годы</w:t>
            </w:r>
            <w:r>
              <w:rPr>
                <w:szCs w:val="28"/>
              </w:rPr>
              <w:t xml:space="preserve"> по состоянию на 2026 год</w:t>
            </w:r>
            <w:r>
              <w:rPr>
                <w:color w:val="000000"/>
                <w:szCs w:val="28"/>
              </w:rPr>
              <w:t xml:space="preserve"> утверждена постановлением администрации городского округа от 01.01.2025 № 3877-п Постановление размещено на официальном сайте администрации городского округа в разделе «Наш город» - «ЖКХ» - «Схема теплоснабжения Копейского городского округа»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3)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Инвентаризация и выявление бесхозяйных тепловых сетей, а также сетей, собственность на которые не оформлена. Оформление указанных сетей в собственность муниципального образования. Передача оформленных в собственность муниципального образования тепловых сетей хозяйствующим субъектам по концессионным соглашениям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Надежность теплоснабжения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Согласно схеме теплоснабжения бесхозяйственные тепловые сети на территории городского округа отсутствуют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8. Рынок выполнения работ по благоустройству городской среды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Проведение информационно-разъяснительных работ по формированию комфортной городской среды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Повышение уровня компетенции организаций частной формы собственности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Информация по формированию комфортной городской среды публикуется на официальном сайте администрации городского округа в разделе «Формирование комфортной городской среды»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https://akgo74.ru/city/formirovanie-gorodskoy-sredy.php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Получение субсидии из бюджета Челябинской области на благоустройство общественных и дворовых территорий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Повышение уровня комфортности городской среды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рамках региональной программы «Формирование комфортной городской среды» в Копейском городском округе выполнено благоустройство 4 общественных территорий на общую сумму 47177,53 тыс. рублей (ФБ-39989,7 тыс. руб., ОБ-1666,24 тыс. руб., МБ-5521,59 тыс. руб.)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9. Рынок выполнения работ по содержанию и текущему ремонту общего имущества собственников помещений</w:t>
            </w:r>
          </w:p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многоквартирном доме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Организация и проведение конкурсов по отбору управляющей организации, предусмотренных Жилищным </w:t>
            </w:r>
            <w:hyperlink r:id="rId8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6"/>
                  <w:u w:val="none"/>
                  <w:lang w:eastAsia="en-US"/>
                </w:rPr>
                <w:t>кодексом</w:t>
              </w:r>
            </w:hyperlink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 Российской Федерации и </w:t>
            </w:r>
            <w:hyperlink r:id="rId9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6"/>
                  <w:u w:val="none"/>
                  <w:lang w:eastAsia="en-US"/>
                </w:rPr>
                <w:t>Правилами</w:t>
              </w:r>
            </w:hyperlink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утвержденными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Увеличение количества организаций частной формы собственности на указанном рынке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статьей 161 Жилищного кодекса Российской Федерации, постановлением Правительства Российской Федерации от 21 декабря 2018 года № 1616 «Об утверждении Правил определения управляющей организации для управления многоквартирным домом,в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администрацией городского округа инициированы 11 открытых конкурсов по отбору управляющей организации для управления многоквартирными домами. Все конкурсы (11) признаны несостоявшимися в связи с отсутствием заявок на участие в конкурсе.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10. Рынок услуг связи, в том числе услуг по предоставлению широкополосного доступа к информационно-телекоммуникационной сети Интернет</w:t>
            </w:r>
          </w:p>
        </w:tc>
      </w:tr>
      <w:tr>
        <w:trPr>
          <w:trHeight w:val="85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Содействие реализации проекта по обеспечению широкополосного доступа жителей к информационно-телекоммуникационной сети Интернет в малых населенных пунктах, в том числе посредством универсальных услуг связи, на территории городского округа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Обеспечение доступа жителей малых населенных пунктов к информационно-телекоммуникационной сети Интернет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Перечень объектов муниципальной собственности для организации процедуры предоставления данных объектов в целях размещения объектов и сооружений средств связи в 2025 году не формировался.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Управление по имуществу и земельным отношениям администрации городского округа предоставляет без торгов при необходимости по заявлениям операторам связи муниципальное имущество, в том числе земельные участки.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  <w:t>Снижение административных барьеров в отношении согласования размещения объектов связи на объектах муниципальной собственности, сокращения сроков согласования сделок по передаче в аренду (пользование) объектов муниципальной собственности, земельных участков, арендаторами (пользователями) которых выступают операторы связи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  <w:t>Создание благоприятных условий для развития новейших стандартов связи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Предоставление в аренду (пользование) объектов муниципальной собственности, земельных участков, арендаторами (пользователями) которых выступают операторы связи, осуществляется в соответствии с Земельным кодексом РФ. Заявление операторов связи рассматриваются в наиболее короткие сроки.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11. Рынок дорожной деятельности (за исключением проектирования)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Заключение муниципальных контрактов с подрядчиками в соответствии с требованиями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Достижение доли присутствия организаций частной формы собственности в сфере дорожной деятельности не менее 80 процентов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Cs w:val="28"/>
              </w:rPr>
              <w:t>В 2025 году заключено 17 контрактов с подрядными организациями на сумму 494,6 млн. рублей. Все контракты заключены с организациями частной форм собственности.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12. Рынок легкой промышленности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Информирование участников промышленных кластеров о предоставлении финансовой поддержки в виде возмещения части затрат на приобретение оборудования в целях модернизации и технического перевооружения производственных мощностей путем размещения информации в информационно-телекоммуникационной сети Интернет на официальном сайте администрации горского округа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Повышение информированности участников промышленных кластеров об оказании финансовой поддержки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Информирование субъектов проводится путем размещения информации о предоставлении финансовой поддержки на официальном сайте администрации городского округа и рассылкой на электронные адреса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Style w:val="Hyperlink"/>
                <w:rFonts w:cs="Times New Roman" w:ascii="Times New Roman" w:hAnsi="Times New Roman"/>
                <w:sz w:val="24"/>
                <w:szCs w:val="26"/>
                <w:lang w:eastAsia="en-US"/>
              </w:rPr>
              <w:t>https://akgo74.ru/administratsiya/predprinimatelstvo/finansovaya-podderzhka/2024-god/index.php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13. Рынок поставки сжиженного газа в баллонах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Проведение ежегодного мониторинга потребности населения в сжиженном газе в баллонах для бытовых нужд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Наличие информации о потребностях населения в сжиженном газе в баллонах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связи с отсутствием на территории городского округа поставщиков сжиженного газа, проведение мониторинга потребности населения в сжиженном газе в баллонах для бытовых нужд не представляется возможным.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Формирование и размещение на сайте администрации округа реестра субъектов предпринимательской деятельности, осуществляющих заправку и поставку сжиженного газа в баллонах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Повышение информированности населения об организациях, осуществляющих поставку сжиженного газа в баллонах, повышение уровня конкуренции организаций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На территории городского округа заправка бытовых газовых баллонов сжиженным углеводородным газом не осуществляется.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14. Рынок оказания услуг по ремонту автотранспортных средств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Мониторинг хозяйствующих субъектов, предоставляющих услуги по ремонту автотранспортных средств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Выявление административных и иных барьеров при входе на рынок и при осуществлении деятельности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Мониторинг субъектов, предоставляющих услуги по ремонту автотранспортных средств, осуществляется посредством Единого реестра субъектов малого и среднего предпринимательства официального сайта Федеральной налоговой службы.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По состоянию на 01.01.2026 по виду деятельности «техническое обслуживание и ремонт автотранспортных средств» на территории городского округа зарегистрировано 70 организаций, в том числе 31 юридических</w:t>
            </w: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 лиц и 49 индивидуальный предприниматель.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Оказание организационно-методической и информационно-консультативной помощи субъектам предпринимательства, осуществляющим (планирующим осуществить) деятельность на рынке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Повышение информированности организаций в сфере оказания услуг по ремонту автотранспортных средств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Администрацией городского округа предоставляются информационно-консультационные услуги субъектам малого и среднего предпринимательства, самозанятым, а так же физическим лицам планирующим осуществлять деятельность.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2025 году за консультацией по вопросам оказания услуг в сфере ремонта автотранспорта субъекты малого и среднего предпринимательства не обращались.</w:t>
            </w:r>
          </w:p>
        </w:tc>
      </w:tr>
      <w:tr>
        <w:trPr/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15. Сфера наружной рекламы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Размещение на официальном сайте администрации городского округа нормативных правовых актов, регулирующих сферу наружной рекламы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Повышение уровня информированности хозяйствующих субъектов о правовом регулировании сферы наружной рекламы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Нормативные правовые акты и местные локальные акты, регулирующие сферу наружной рекламы, размещены на официальном сайте администрации городского округа в разделе «Предпринимательство» - «Реклама»</w:t>
            </w:r>
          </w:p>
          <w:p>
            <w:pPr>
              <w:pStyle w:val="Normal"/>
              <w:jc w:val="both"/>
              <w:rPr>
                <w:szCs w:val="20"/>
              </w:rPr>
            </w:pPr>
            <w:r>
              <w:rPr>
                <w:szCs w:val="26"/>
              </w:rPr>
              <w:t>(https://akgo74.ru/administratsiya/predprinimatelstvo/reklama.php).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Актуализация схем размещения рекламных конструкций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Открытый доступ для хозяйствующих субъектов к схемам размещения рекламных конструкций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Схема является открытой и общедоступной, подлежит обязательному официальному опубликованию, а также размещается на официальном сайте администрации Копейского городского округа в сети Интернет /akgo74.ru/.</w:t>
            </w:r>
          </w:p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При разработке Схемы и вносимых в нее изменений учтено существующее размещение рекламных конструкций: предполагается сохранить существующие рекламные конструкции, размещение которых не противоречит требованиям технических регламентов и сводов правил, в результате применения которых на обязательной основе обеспечивается соблюдение требований технических регламентов.</w:t>
            </w:r>
          </w:p>
          <w:p>
            <w:pPr>
              <w:pStyle w:val="Normal"/>
              <w:jc w:val="both"/>
              <w:rPr>
                <w:szCs w:val="26"/>
              </w:rPr>
            </w:pPr>
            <w:r>
              <w:rPr>
                <w:szCs w:val="26"/>
              </w:rPr>
              <w:t>Проектирование Схемы велось с учетом существующих проектов организации дорожного движения, а также с учетом внешнего архитектурного облика сложившейся застройки Копейского городского округа и перспективных планов его развития. В 2025 году Схема утверждена постановлением администрации Копейского городского округа от 16.04.2025 № 1461-п. Дополнения в Схему утверждены постановлением администрации Копейского городского округа от 21.11.2025 № 4597-п.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3)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Проведение торгов на право установки и эксплуатации рекламных конструкций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Повышение конкуренции среди хозяйствующих субъектов, повышение качества услуг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Cs w:val="20"/>
              </w:rPr>
            </w:pPr>
            <w:r>
              <w:rPr>
                <w:szCs w:val="20"/>
              </w:rPr>
              <w:t>Распоряжением управления по имуществу и земельным отношениям администрации      Копейского городского округа от 24.11.2025   № 513-р принято решение  о проведении 15.01.2026 аукциона в электронной форме на право заключения договоров на размещение 7-ми рекламных конструкций.</w:t>
            </w:r>
          </w:p>
          <w:p>
            <w:pPr>
              <w:pStyle w:val="Normal"/>
              <w:jc w:val="both"/>
              <w:rPr>
                <w:color w:val="000000"/>
                <w:szCs w:val="20"/>
              </w:rPr>
            </w:pPr>
            <w:r>
              <w:rPr>
                <w:szCs w:val="20"/>
              </w:rPr>
              <w:t>Форма торгов – аукцион в электронной форме с  открытой формой подачи предложений  о цене лота.</w:t>
            </w:r>
          </w:p>
          <w:p>
            <w:pPr>
              <w:pStyle w:val="Normal"/>
              <w:jc w:val="both"/>
              <w:rPr>
                <w:color w:val="000000"/>
                <w:szCs w:val="20"/>
              </w:rPr>
            </w:pPr>
            <w:r>
              <w:rPr>
                <w:szCs w:val="20"/>
              </w:rPr>
              <w:t xml:space="preserve">Информационное сообщение о проведении аукциона размещено на официальном сайте администрации Копейского городского округа www.akgo74.ru, официальном сайте Российской Федерации для размещения информации о проведении торгов по аренде и продаже государственного и муниципального имущества, земельных участков, недр, природных ресурсов, реализации имущества должников torgi.gov.ru,  на электронной площадке Оператора </w:t>
            </w:r>
            <w:hyperlink r:id="rId10">
              <w:r>
                <w:rPr>
                  <w:rStyle w:val="Hyperlink"/>
                  <w:szCs w:val="20"/>
                </w:rPr>
                <w:t>https://www.rts-tender.ru</w:t>
              </w:r>
            </w:hyperlink>
            <w:r>
              <w:rPr>
                <w:szCs w:val="20"/>
              </w:rPr>
              <w:t>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4)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Выявление и демонтаж незаконных рекламных конструкций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Контроль за соблюдением законодательства Российской Федерации в сфере наружной рекламы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Cs w:val="20"/>
              </w:rPr>
              <w:t xml:space="preserve">Выявление незаконных рекламных конструкций осуществляется путем мониторинга размещения наружной рекламы на территории городского округа в соответствии с утвержденной Схемой </w:t>
            </w:r>
            <w:r>
              <w:rPr>
                <w:szCs w:val="26"/>
              </w:rPr>
              <w:t xml:space="preserve">размещения рекламных конструкций. </w:t>
            </w:r>
            <w:r>
              <w:rPr>
                <w:szCs w:val="20"/>
              </w:rPr>
              <w:t>Демонтаж незаконных рекламных конструкций осуществляется в соответствии с решением Собрания депутатов городского округа от 27.05.2020 № 882-МО                 «Об утверждении Порядка распространения наружной рекламы и информации на территории муниципального образования «Копейский городской округ».</w:t>
            </w:r>
          </w:p>
          <w:p>
            <w:pPr>
              <w:pStyle w:val="Normal"/>
              <w:jc w:val="both"/>
              <w:rPr/>
            </w:pPr>
            <w:r>
              <w:rPr>
                <w:szCs w:val="20"/>
              </w:rPr>
              <w:t>Демонтаж рекламных конструкций в 2025 году за счет бюджетных средств не проводился.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5)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Осуществление взаимодействия органов власти при осуществлении контроля в сфере наружной рекламы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Контроль за соблюдением законодательства Российской Федерации в сфере наружной рекламы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Cs/>
                <w:szCs w:val="20"/>
              </w:rPr>
            </w:pPr>
            <w:r>
              <w:rPr>
                <w:szCs w:val="20"/>
              </w:rPr>
              <w:t>Взаимодействие органов власти при осуществлении контроля в сфере наружной рекламы осуществляется в соответствии с Фе</w:t>
            </w:r>
            <w:r>
              <w:rPr>
                <w:bCs/>
                <w:szCs w:val="20"/>
              </w:rPr>
              <w:t>деральным законом от 13 марта 2006 года № 38-ФЗ «О рекламе», а также другими нормативными правовыми актами, регулирующими сферу наружной рекламы.</w:t>
            </w:r>
          </w:p>
          <w:p>
            <w:pPr>
              <w:pStyle w:val="Normal"/>
              <w:jc w:val="both"/>
              <w:rPr/>
            </w:pPr>
            <w:r>
              <w:rPr>
                <w:bCs/>
                <w:szCs w:val="20"/>
              </w:rPr>
              <w:t>Информация о местах размещения мест отдельно стоящих рекламных конструкций направляется в УФАС по Челябинской области, Заместителям Губернатора Челябинской области (по запросу).</w:t>
            </w:r>
          </w:p>
        </w:tc>
      </w:tr>
    </w:tbl>
    <w:p>
      <w:pPr>
        <w:pStyle w:val="ConsPlusTitle"/>
        <w:numPr>
          <w:ilvl w:val="0"/>
          <w:numId w:val="0"/>
        </w:numPr>
        <w:tabs>
          <w:tab w:val="clear" w:pos="708"/>
          <w:tab w:val="left" w:pos="5595" w:leader="none"/>
          <w:tab w:val="left" w:pos="5700" w:leader="none"/>
          <w:tab w:val="center" w:pos="7555" w:leader="none"/>
        </w:tabs>
        <w:ind w:hanging="0" w:left="0"/>
        <w:jc w:val="both"/>
        <w:outlineLvl w:val="2"/>
        <w:rPr>
          <w:rFonts w:ascii="Times New Roman" w:hAnsi="Times New Roman" w:cs="Times New Roman"/>
          <w:sz w:val="24"/>
          <w:szCs w:val="26"/>
        </w:rPr>
      </w:pPr>
      <w:r>
        <w:rPr>
          <w:rFonts w:cs="Times New Roman" w:ascii="Times New Roman" w:hAnsi="Times New Roman"/>
          <w:sz w:val="24"/>
          <w:szCs w:val="26"/>
        </w:rPr>
      </w:r>
    </w:p>
    <w:p>
      <w:pPr>
        <w:pStyle w:val="ConsPlusTitle"/>
        <w:numPr>
          <w:ilvl w:val="0"/>
          <w:numId w:val="0"/>
        </w:numPr>
        <w:tabs>
          <w:tab w:val="clear" w:pos="708"/>
          <w:tab w:val="left" w:pos="5595" w:leader="none"/>
          <w:tab w:val="left" w:pos="5700" w:leader="none"/>
          <w:tab w:val="center" w:pos="7555" w:leader="none"/>
        </w:tabs>
        <w:ind w:hanging="0" w:left="0"/>
        <w:jc w:val="both"/>
        <w:outlineLvl w:val="2"/>
        <w:rPr>
          <w:rFonts w:ascii="Times New Roman" w:hAnsi="Times New Roman" w:cs="Times New Roman"/>
          <w:sz w:val="24"/>
          <w:szCs w:val="26"/>
        </w:rPr>
      </w:pPr>
      <w:r>
        <w:rPr>
          <w:rFonts w:cs="Times New Roman" w:ascii="Times New Roman" w:hAnsi="Times New Roman"/>
          <w:sz w:val="24"/>
          <w:szCs w:val="26"/>
        </w:rPr>
        <w:t>2. Системные мероприятия</w:t>
      </w:r>
    </w:p>
    <w:tbl>
      <w:tblPr>
        <w:tblW w:w="1462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628"/>
        <w:gridCol w:w="5732"/>
        <w:gridCol w:w="1698"/>
        <w:gridCol w:w="6567"/>
      </w:tblGrid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п/п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Срок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реализации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(год)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Информация об исполнении</w:t>
            </w:r>
          </w:p>
        </w:tc>
      </w:tr>
      <w:tr>
        <w:trPr/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1. Мероприятия, направленные на устранение избыточного государственного и муниципального регулирования, а также снижение административных барьеров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Проведение анализа государственных и муниципальных услуг, предоставление которых является необходимым условием ведения предпринимательской деятельности, и подготовка предложений по оптимизации процесса предоставления государственных и муниципальных услуг для субъектов предпринимательской деятельности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соответствии с федеральным проектом «Государство для людей» (далее — федеральный проект) и во исполнение распоряжения Правительства Российской Федерации от 06.10.2021 № 2816-р «Об утверждении перечня инициатив социально-экономического развития Российской Федерации до 2030 года» на территории Челябинской области внедряются принципы и стандарты клиентоцентричности. По итогам совещания по вопросу реализации федерального проекта в органах местного самоуправления, организованного Правительством Челябинской области, в администрации Копейского городского округа (далее - администрация) утвержден План мероприятий («дорожная карта») по внедрению Стандартов клиентоцентричности (далее — План мероприятий). Исполнение Плана мероприятий предусматривает, в частности, включение в Перечень муниципальных и государственных услуг, предоставляемых администрацией, услуги по получению права на организацию ярмарки, а также разработку административного регламента предоставления данной услуги. Кроме этого, внедряемая муниципальная услуга должна  соответствовать стандарту, поскольку основу вышеупомянутого федерального проекта составляет модель клиентоцентричного государства, функции и услуги которого организованы по принципу единообразия и максимальной эффективности.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2025 году разработан регламент предоставления услуги. Помимо указанной услуги проведена оптимизация следующих услуг: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- 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- признание садового дома жилым домом и жилого дома садовым домом;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- выдача разрешения на вступление в брак лицам, достигшим возраста шестнадцати лет, но не достигшим возраста восемнадцати лет;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- предоставление архивных справок, архивных выписок и архивных копий, предоставление доступа к архивным документам.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Предоставление государственных и муниципальных услуг для субъектов предпринимательской деятельности осуществляется в соответствии с действующим законодательством.</w:t>
            </w:r>
          </w:p>
        </w:tc>
      </w:tr>
      <w:tr>
        <w:trPr/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2. Мероприятия, направленные на создание условий для недискриминационного доступа хозяйствующих субъектов на товарные рынки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Формирование, актуализация и размещение на официальном сайте городского округа реестра торговых мест (ярмарок) для реализации продукции местных производителей и производителей других регионов, в том числе произведенных в личных подсобных хозяйствах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hyperlink r:id="rId11">
              <w:r>
                <w:rPr>
                  <w:rStyle w:val="Hyperlink"/>
                  <w:rFonts w:cs="Times New Roman" w:ascii="Times New Roman" w:hAnsi="Times New Roman"/>
                  <w:color w:themeColor="text1" w:val="000000"/>
                  <w:sz w:val="24"/>
                  <w:u w:val="none"/>
                </w:rPr>
                <w:t>Постановлением администрации городского округа от 24.02.2022 № 554-п «Об утверждении перечня ярмарочных площадок на</w:t>
              </w:r>
            </w:hyperlink>
            <w:r>
              <w:rPr>
                <w:rFonts w:cs="Times New Roman" w:ascii="Times New Roman" w:hAnsi="Times New Roman"/>
                <w:color w:themeColor="text1" w:val="000000"/>
                <w:sz w:val="24"/>
              </w:rPr>
              <w:t xml:space="preserve"> </w:t>
            </w:r>
            <w:hyperlink r:id="rId12">
              <w:r>
                <w:rPr>
                  <w:rStyle w:val="Hyperlink"/>
                  <w:rFonts w:cs="Times New Roman" w:ascii="Times New Roman" w:hAnsi="Times New Roman"/>
                  <w:color w:themeColor="text1" w:val="000000"/>
                  <w:sz w:val="24"/>
                  <w:u w:val="none"/>
                </w:rPr>
                <w:t>территории Копейского городского округа</w:t>
              </w:r>
            </w:hyperlink>
            <w:r>
              <w:rPr>
                <w:rFonts w:cs="Times New Roman" w:ascii="Times New Roman" w:hAnsi="Times New Roman"/>
                <w:color w:themeColor="text1" w:val="000000"/>
                <w:sz w:val="24"/>
                <w:szCs w:val="26"/>
                <w:lang w:eastAsia="en-US"/>
              </w:rPr>
              <w:t>» утвержден перечень мест для организации ярмарочной торговли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Style w:val="Hyperlink"/>
                <w:rFonts w:cs="Times New Roman" w:ascii="Times New Roman" w:hAnsi="Times New Roman"/>
                <w:sz w:val="24"/>
                <w:szCs w:val="26"/>
                <w:lang w:eastAsia="en-US"/>
              </w:rPr>
              <w:t>https://akgo74.ru</w:t>
            </w:r>
          </w:p>
        </w:tc>
      </w:tr>
      <w:tr>
        <w:trPr/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3. Мероприятия, направленные на содействие развитию практики применения механизмов государственно-частного и муниципально-частного партнерства, в том числе практики заключения концессионных соглашений, в социальной сфере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Утверждение перечня объектов, в отношении которых планируется заключение соглашений о государственно-частном партнерстве (далее именуется - ГЧП), муниципально-частном партнерстве (далее именуется - МЧП), в том числе концессионных соглашений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Перечень объектов коммунальной инфраструктуры, находящихся в муниципальной собственности, в отношении которых запланировано заключение концессионных соглашений и подлежащих размещению на официальном сайте в информационно-телекоммуникационной сети «Интернет», утвержден распоряжением администрации от 31.01.2025 № 37-р и размещен на сайте администрации городского округа</w:t>
            </w:r>
          </w:p>
          <w:p>
            <w:pPr>
              <w:pStyle w:val="ConsPlusNormal"/>
              <w:jc w:val="both"/>
              <w:rPr>
                <w:rFonts w:ascii="Times New Roman" w:hAnsi="Times New Roman"/>
                <w:sz w:val="24"/>
                <w:szCs w:val="28"/>
              </w:rPr>
            </w:pPr>
            <w:hyperlink r:id="rId13">
              <w:r>
                <w:rPr>
                  <w:rStyle w:val="Hyperlink"/>
                  <w:rFonts w:ascii="Times New Roman" w:hAnsi="Times New Roman"/>
                  <w:sz w:val="24"/>
                  <w:szCs w:val="28"/>
                </w:rPr>
                <w:t>https://akgo74.ru/documents/rasporyazheniya/2024-god/index.php</w:t>
              </w:r>
            </w:hyperlink>
          </w:p>
          <w:p>
            <w:pPr>
              <w:pStyle w:val="ConsPlusNormal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2025 году концессионные соглашения не заключались.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Утверждение перечня инфраструктурных проектов городского округа, реализация которых возможна в рамках ГЧП/МЧП, в том числе концессионных соглашений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Инфраструктурные проекты городского округа, реализация которых возможна в рамках ГЧП/МЧП, в том числе концессионных соглашений, отсутствуют. Инфраструктурный проект «Модернизация сетей водоснабжения в Копейском городском округе» будет реализован за счет казначейских инфраструктурных проектов (КИК).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3)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Применение механизмов ГЧП/МЧП, заключение концессионных соглашений в одной или нескольких из следующих сфер: спорт; здравоохранение; дошкольное образование; теплоснабжение; водоснабжение; водоотведение; транспорт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Концессионные соглашения в отношении систем коммунальной инфраструктуры (объектов теплоснабжения, централизованных систем горячего водоснабжения), находящихся в собственности муниципального образования «Копейский городской округ» заключены ранее до 2025 года: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 № 2.1КС от 27.10.2017 с ООО «Производственное коммерческое предприятие Синергия»;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 от 19.09.2019 с АО «Челябоблкоммунэнерго»;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3) № 1-КС от 28.01.2021 с АО  «Челябкоммунэнерго».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2025 году концессионные соглашения не заключались.</w:t>
            </w:r>
          </w:p>
        </w:tc>
      </w:tr>
      <w:tr>
        <w:trPr/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4. Мероприятия, направленные на содействие развитию негосударственных (не муниципальных) социально ориентированных некоммерческих организаций и социального предпринимательства</w:t>
            </w:r>
          </w:p>
        </w:tc>
      </w:tr>
      <w:tr>
        <w:trPr>
          <w:trHeight w:val="889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Проведение мероприятий по созданию условий деятельности социально ориентированных некоммерческих организаций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На территории городского округа действуют 4 социально ориентированные некоммерческие организации. Для создания условий деятельности проводятся следующие мероприятия: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425" w:leader="none"/>
              </w:tabs>
              <w:spacing w:before="0" w:after="0"/>
              <w:ind w:hanging="0" w:left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недвижимого имущества в безвозмездное пользование;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425" w:leader="none"/>
              </w:tabs>
              <w:spacing w:before="0" w:after="0"/>
              <w:ind w:hanging="0" w:left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субсидий на оплату труда, коммунальных услуг, хозяйственных и транспортных расходов, проведение культурно-массовых мероприятий.</w:t>
            </w:r>
          </w:p>
          <w:p>
            <w:pPr>
              <w:pStyle w:val="Normal"/>
              <w:tabs>
                <w:tab w:val="clear" w:pos="708"/>
                <w:tab w:val="left" w:pos="425" w:leader="none"/>
              </w:tabs>
              <w:jc w:val="both"/>
              <w:rPr/>
            </w:pPr>
            <w:r>
              <w:rPr/>
              <w:t>В 2025 году общий объем субсидии составил 5760,6 тыс. рублей.</w:t>
            </w:r>
          </w:p>
        </w:tc>
      </w:tr>
      <w:tr>
        <w:trPr/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3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5. Мероприятия, направленные на развитие механизмов поддержки технического и научно-технического творчества детей и молодежи, обучение их правовой грамотности и основам цифровой экономики, а также на повышение их информированности о потенциальных возможностях саморазвития, обеспечение поддержки научной, творческой и предпринимательской активности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Создание новых мест дополнительного образования детей в рамках реализации регионального проекта «Успех каждого ребенка (Челябинская область)»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</w:rPr>
              <w:t xml:space="preserve">В 2025 г. в рамках реализации </w:t>
            </w: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региональный проект «Успех каждого ребенка» новые места для реализации дополнительных общеобразовательных программ не открывались</w:t>
            </w:r>
          </w:p>
        </w:tc>
      </w:tr>
      <w:tr>
        <w:trPr/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6. Мероприятия, направленные на повышение уровня финансовой грамотности населения (потребителей) и субъектов малого и среднего предпринимательства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Проведение опроса жителей городского округа об оценке ими своего уровня финансовой грамотности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2025 году опрос проведен.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Проведение на территории городского округа мероприятий по повышению качества и доступности платежных (банковских) услуг, информационной кампании, направленной на повышение уровня финансовой грамотности жителей и субъектов малого и среднего предпринимательства, в том числе: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обучающих занятий (вебинары, встречи);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распространение печатных материалов в общедоступных местах среди жителей населенных пунктов (по заявке муниципального образования);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распространение видеоматериалов на сайте администрации городского округа и страницах социальных сетей администрации, экранах, щитах и баннерах в общедоступных местах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2025 году опрос проведен.</w:t>
            </w:r>
          </w:p>
          <w:p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7. Мероприятия, направленные на увеличение доли опрошенного населения, положительно оценивающего удовлетворенность (полностью или частично) работой хотя бы одного типа финансовых организаций, осуществляющих свою деятельность на территории городского округа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Проведение опроса жителей городского округа об их удовлетворенности работой финансовых организаций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2025 году опрос проведен</w:t>
            </w:r>
          </w:p>
          <w:p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Проведение на территории городского округа мероприятий по повышению качества и доступности платежных (банковских) услуг, в том числе предоставление возможности: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снятия наличных денег на кассе торгово-сервисного предприятия при оплате товаров банковской картой (услуга «кешаут»);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безналичной оплаты услуг предприятий сферы жилищно-коммунального хозяйства на кассе торгово-сервисного предприятия;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оплаты товаров и услуг с использованием банковской карты (установка POS-терминалов в торгово-сервисных предприятиях), системы быстрых платежей (посредством QR-кода)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Предложений от финансовых организаций о проведении на территории округа мероприятий по повышению качества и доступности платежных (банковских) услуг не поступало.</w:t>
            </w:r>
          </w:p>
          <w:p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Информация по повышению качества и доступности платежных (банковских) услуг, в том числе предоставление возможности:</w:t>
            </w:r>
          </w:p>
          <w:p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снятия наличных денег на кассе торгово-сервисного предприятия при оплате товаров банковской картой (услуга «кешаут»);</w:t>
            </w:r>
          </w:p>
          <w:p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безналичной оплаты услуг предприятий сферы жилищно-коммунального хозяйства на кассе торгово-сервисного предприятия;</w:t>
            </w:r>
          </w:p>
          <w:p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оплаты товаров и услуг с использованием банковской карты (установка POS-терминалов в торгово-сервисных предприятиях), системы быстрых платежей (посредством QR-кода) размещена на сайте администрации Копейского городского округа.</w:t>
            </w:r>
          </w:p>
        </w:tc>
      </w:tr>
      <w:tr>
        <w:trPr/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8. Мероприятия, направленные на повышение доступности финансовых услуг для субъектов экономической деятельности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Проведение опроса субъектов предпринимательской деятельности о доступности финансовых услуг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 2025 году опрос проведен.</w:t>
            </w:r>
          </w:p>
        </w:tc>
      </w:tr>
      <w:tr>
        <w:trPr/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3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9. Мероприятия, разработанные в соответствии с Национальным </w:t>
            </w:r>
            <w:hyperlink r:id="rId14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6"/>
                  <w:u w:val="none"/>
                  <w:lang w:eastAsia="en-US"/>
                </w:rPr>
                <w:t>планом</w:t>
              </w:r>
            </w:hyperlink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 xml:space="preserve"> («дорожной картой») развития конкуренции в Российской Федерации на 2021 - 2025 годы, утвержденным распоряжением Правительства Российской Федерации от 02.09.2021 № 2424-р</w:t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1)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Определение состава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составление плана-графика полной инвентаризации муниципального имущества, в том числе закрепленного за предприятиями, учреждениями;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проведение инвентаризации муниципального имущества, определение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государственной власти Челябинской области;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включение указанного имущества в программу приватизации, утверждение плана по перепрофилированию имущества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cs="Times New Roman" w:ascii="Times New Roman" w:hAnsi="Times New Roman"/>
                <w:sz w:val="24"/>
                <w:szCs w:val="26"/>
                <w:lang w:eastAsia="en-US"/>
              </w:rPr>
              <w:t>2025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6"/>
                <w:lang w:eastAsia="en-US"/>
              </w:rPr>
              <w:t>Программа приватизации муниципальных предприятий и муниципального имущества на 2024-2026 годы</w:t>
            </w:r>
            <w:r>
              <w:rPr>
                <w:rFonts w:ascii="Times New Roman" w:hAnsi="Times New Roman"/>
                <w:sz w:val="24"/>
                <w:szCs w:val="26"/>
                <w:lang w:eastAsia="zh-CN"/>
              </w:rPr>
              <w:t xml:space="preserve"> утвержденна решением Собрания депутатов городского округа Челябинской области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от 20.12.2023 № 984 «Об </w:t>
            </w:r>
            <w:r>
              <w:rPr>
                <w:rFonts w:ascii="Times New Roman" w:hAnsi="Times New Roman"/>
                <w:sz w:val="24"/>
                <w:szCs w:val="26"/>
                <w:lang w:eastAsia="zh-CN"/>
              </w:rPr>
              <w:t>утверждении программы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приватизации муниципальных предприятий и муниципального имущества на 2024-2026 годы».</w:t>
            </w:r>
          </w:p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Управлением по имуществу и земельным отношениям осуществляет контроль за использованием муниципального имущества на постоянной основе.</w:t>
            </w:r>
          </w:p>
        </w:tc>
      </w:tr>
    </w:tbl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Normal"/>
        <w:rPr>
          <w:szCs w:val="26"/>
        </w:rPr>
      </w:pPr>
      <w:r>
        <w:rPr>
          <w:szCs w:val="26"/>
        </w:rPr>
        <w:t>Начальник отдела по</w:t>
      </w:r>
    </w:p>
    <w:p>
      <w:pPr>
        <w:pStyle w:val="Normal"/>
        <w:rPr>
          <w:szCs w:val="26"/>
        </w:rPr>
      </w:pPr>
      <w:r>
        <w:rPr>
          <w:szCs w:val="26"/>
        </w:rPr>
        <w:t>инвестиционной политике,</w:t>
      </w:r>
    </w:p>
    <w:p>
      <w:pPr>
        <w:pStyle w:val="Normal"/>
        <w:rPr>
          <w:szCs w:val="26"/>
        </w:rPr>
      </w:pPr>
      <w:r>
        <w:rPr>
          <w:szCs w:val="26"/>
        </w:rPr>
        <w:t>поддержке и развитию предпринимательства                                                                                                                                          Е.А. Воробьева</w:t>
      </w:r>
    </w:p>
    <w:sectPr>
      <w:headerReference w:type="default" r:id="rId15"/>
      <w:type w:val="nextPage"/>
      <w:pgSz w:orient="landscape" w:w="16838" w:h="11906"/>
      <w:pgMar w:left="1134" w:right="1134" w:gutter="0" w:header="709" w:top="851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8130255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Текст сноски Знак"/>
    <w:uiPriority w:val="99"/>
    <w:qFormat/>
    <w:rPr>
      <w:sz w:val="18"/>
    </w:rPr>
  </w:style>
  <w:style w:type="character" w:styleId="Style9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Цветовое выделение"/>
    <w:uiPriority w:val="99"/>
    <w:qFormat/>
    <w:rPr>
      <w:b/>
      <w:bCs w:val="false"/>
      <w:color w:val="26282F"/>
    </w:rPr>
  </w:style>
  <w:style w:type="character" w:styleId="Style11" w:customStyle="1">
    <w:name w:val="Верхний колонтитул Знак"/>
    <w:basedOn w:val="DefaultParagraphFont"/>
    <w:uiPriority w:val="99"/>
    <w:qFormat/>
    <w:rPr>
      <w:rFonts w:ascii="Calibri" w:hAnsi="Calibri" w:eastAsia="Calibri" w:cs="Times New Roman"/>
    </w:rPr>
  </w:style>
  <w:style w:type="character" w:styleId="Style12" w:customStyle="1">
    <w:name w:val="Нижний колонтитул Знак"/>
    <w:basedOn w:val="DefaultParagraphFont"/>
    <w:uiPriority w:val="99"/>
    <w:qFormat/>
    <w:rPr>
      <w:rFonts w:ascii="Calibri" w:hAnsi="Calibri" w:eastAsia="Calibri" w:cs="Times New Roman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Calibri" w:cs="Tahoma"/>
      <w:sz w:val="16"/>
      <w:szCs w:val="16"/>
    </w:rPr>
  </w:style>
  <w:style w:type="character" w:styleId="Docdata" w:customStyle="1">
    <w:name w:val="docdata"/>
    <w:basedOn w:val="DefaultParagraphFont"/>
    <w:qFormat/>
    <w:rsid w:val="00a173fe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8"/>
    <w:uiPriority w:val="99"/>
    <w:semiHidden/>
    <w:unhideWhenUsed/>
    <w:pPr>
      <w:spacing w:before="0" w:after="40"/>
    </w:pPr>
    <w:rPr>
      <w:sz w:val="18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4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qFormat/>
    <w:pPr>
      <w:widowControl/>
      <w:suppressAutoHyphens w:val="true"/>
      <w:bidi w:val="0"/>
      <w:spacing w:lineRule="auto" w:line="240" w:before="0" w:after="180"/>
      <w:ind w:left="720"/>
      <w:contextualSpacing/>
      <w:jc w:val="left"/>
    </w:pPr>
    <w:rPr>
      <w:rFonts w:ascii="Arial" w:hAnsi="Arial" w:eastAsia="Times New Roman" w:cs="Times New Roman"/>
      <w:color w:val="auto"/>
      <w:kern w:val="0"/>
      <w:sz w:val="16"/>
      <w:szCs w:val="16"/>
      <w:lang w:val="ru-RU" w:eastAsia="ru-RU" w:bidi="ar-SA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" w:cs="Times New Roman"/>
      <w:color w:val="auto"/>
      <w:kern w:val="0"/>
      <w:sz w:val="24"/>
      <w:szCs w:val="24"/>
      <w:lang w:val="en-US" w:eastAsia="zh-CN" w:bidi="hi-IN"/>
    </w:rPr>
  </w:style>
  <w:style w:type="paragraph" w:styleId="BodyTextIndent2">
    <w:name w:val="Body Text Indent 2"/>
    <w:qFormat/>
    <w:pPr>
      <w:widowControl/>
      <w:suppressAutoHyphens w:val="true"/>
      <w:bidi w:val="0"/>
      <w:spacing w:lineRule="auto" w:line="240" w:before="0" w:after="0"/>
      <w:ind w:firstLine="720"/>
      <w:jc w:val="both"/>
    </w:pPr>
    <w:rPr>
      <w:rFonts w:ascii="Arial" w:hAnsi="Arial" w:eastAsia="Arial" w:cs="Arial"/>
      <w:color w:val="auto"/>
      <w:kern w:val="0"/>
      <w:sz w:val="28"/>
      <w:szCs w:val="28"/>
      <w:lang w:val="ru-RU" w:eastAsia="en-US" w:bidi="ru-RU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7F7F7F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sz="12" w:space="0"/>
        </w:tcBorders>
      </w:tcPr>
    </w:tblStylePr>
    <w:tblStylePr w:type="firstCol">
      <w:rPr>
        <w:sz w:val="22"/>
      </w:rPr>
      <w:tblPr/>
      <w:tcPr>
        <w:tcBorders>
          <w:right w:val="single" w:color="7F7F7F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4F81BD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sz="12" w:space="0"/>
        </w:tcBorders>
      </w:tcPr>
    </w:tblStylePr>
    <w:tblStylePr w:type="firstCol">
      <w:rPr>
        <w:sz w:val="22"/>
      </w:rPr>
      <w:tblPr/>
      <w:tcPr>
        <w:tcBorders>
          <w:right w:val="single" w:color="4F81BD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sz="12" w:space="0"/>
        </w:tcBorders>
      </w:tcPr>
    </w:tblStylePr>
    <w:tblStylePr w:type="band1Horz">
      <w:rPr>
        <w:sz w:val="22"/>
      </w:rPr>
      <w:tblPr/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D99594" w:sz="12" w:space="0"/>
        </w:tcBorders>
      </w:tcPr>
    </w:tblStylePr>
    <w:tblStylePr w:type="lastRow">
      <w:rPr>
        <w:sz w:val="22"/>
      </w:rPr>
      <w:tblPr/>
      <w:tcPr>
        <w:tcBorders>
          <w:top w:val="single" w:color="D99594" w:sz="12" w:space="0"/>
        </w:tcBorders>
      </w:tcPr>
    </w:tblStylePr>
    <w:tblStylePr w:type="firstCol">
      <w:rPr>
        <w:sz w:val="22"/>
      </w:rPr>
      <w:tblPr/>
      <w:tcPr>
        <w:tcBorders>
          <w:right w:val="single" w:color="D99594" w:sz="12" w:space="0"/>
        </w:tcBorders>
      </w:tcPr>
    </w:tblStylePr>
    <w:tblStylePr w:type="lastCol">
      <w:rPr>
        <w:sz w:val="22"/>
      </w:rPr>
      <w:tblPr/>
      <w:tcPr>
        <w:tcBorders>
          <w:left w:val="single" w:color="D99594" w:sz="12" w:space="0"/>
        </w:tcBorders>
      </w:tcPr>
    </w:tblStylePr>
    <w:tblStylePr w:type="band1Horz">
      <w:rPr>
        <w:sz w:val="22"/>
      </w:rPr>
      <w:tblPr/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C2D69B" w:sz="12" w:space="0"/>
        </w:tcBorders>
      </w:tcPr>
    </w:tblStylePr>
    <w:tblStylePr w:type="lastRow">
      <w:rPr>
        <w:sz w:val="22"/>
      </w:rPr>
      <w:tblPr/>
      <w:tcPr>
        <w:tcBorders>
          <w:top w:val="single" w:color="C2D69B" w:sz="12" w:space="0"/>
        </w:tcBorders>
      </w:tcPr>
    </w:tblStylePr>
    <w:tblStylePr w:type="firstCol">
      <w:rPr>
        <w:sz w:val="22"/>
      </w:rPr>
      <w:tblPr/>
      <w:tcPr>
        <w:tcBorders>
          <w:right w:val="single" w:color="C2D69B" w:sz="12" w:space="0"/>
        </w:tcBorders>
      </w:tcPr>
    </w:tblStylePr>
    <w:tblStylePr w:type="lastCol">
      <w:rPr>
        <w:sz w:val="22"/>
      </w:rPr>
      <w:tblPr/>
      <w:tcPr>
        <w:tcBorders>
          <w:left w:val="single" w:color="C2D69B" w:sz="12" w:space="0"/>
        </w:tcBorders>
      </w:tcPr>
    </w:tblStylePr>
    <w:tblStylePr w:type="band1Horz">
      <w:rPr>
        <w:sz w:val="22"/>
      </w:rPr>
      <w:tblPr/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B2A1C7" w:sz="12" w:space="0"/>
        </w:tcBorders>
      </w:tcPr>
    </w:tblStylePr>
    <w:tblStylePr w:type="lastRow">
      <w:rPr>
        <w:sz w:val="22"/>
      </w:rPr>
      <w:tblPr/>
      <w:tcPr>
        <w:tcBorders>
          <w:top w:val="single" w:color="B2A1C7" w:sz="12" w:space="0"/>
        </w:tcBorders>
      </w:tcPr>
    </w:tblStylePr>
    <w:tblStylePr w:type="firstCol">
      <w:rPr>
        <w:sz w:val="22"/>
      </w:rPr>
      <w:tblPr/>
      <w:tcPr>
        <w:tcBorders>
          <w:right w:val="single" w:color="B2A1C7" w:sz="12" w:space="0"/>
        </w:tcBorders>
      </w:tcPr>
    </w:tblStylePr>
    <w:tblStylePr w:type="lastCol">
      <w:rPr>
        <w:sz w:val="22"/>
      </w:rPr>
      <w:tblPr/>
      <w:tcPr>
        <w:tcBorders>
          <w:left w:val="single" w:color="B2A1C7" w:sz="12" w:space="0"/>
        </w:tcBorders>
      </w:tcPr>
    </w:tblStylePr>
    <w:tblStylePr w:type="band1Horz">
      <w:rPr>
        <w:sz w:val="22"/>
      </w:rPr>
      <w:tblPr/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92CDDC" w:sz="12" w:space="0"/>
        </w:tcBorders>
      </w:tcPr>
    </w:tblStylePr>
    <w:tblStylePr w:type="lastRow">
      <w:rPr>
        <w:sz w:val="22"/>
      </w:rPr>
      <w:tblPr/>
      <w:tcPr>
        <w:tcBorders>
          <w:top w:val="single" w:color="92CDDC" w:sz="12" w:space="0"/>
        </w:tcBorders>
      </w:tcPr>
    </w:tblStylePr>
    <w:tblStylePr w:type="firstCol">
      <w:rPr>
        <w:sz w:val="22"/>
      </w:rPr>
      <w:tblPr/>
      <w:tcPr>
        <w:tcBorders>
          <w:right w:val="single" w:color="92CDDC" w:sz="12" w:space="0"/>
        </w:tcBorders>
      </w:tcPr>
    </w:tblStylePr>
    <w:tblStylePr w:type="lastCol">
      <w:rPr>
        <w:sz w:val="22"/>
      </w:rPr>
      <w:tblPr/>
      <w:tcPr>
        <w:tcBorders>
          <w:left w:val="single" w:color="92CDDC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FABF8F" w:sz="12" w:space="0"/>
        </w:tcBorders>
      </w:tcPr>
    </w:tblStylePr>
    <w:tblStylePr w:type="lastRow">
      <w:rPr>
        <w:sz w:val="22"/>
      </w:rPr>
      <w:tblPr/>
      <w:tcPr>
        <w:tcBorders>
          <w:top w:val="single" w:color="FABF8F" w:sz="12" w:space="0"/>
        </w:tcBorders>
      </w:tcPr>
    </w:tblStylePr>
    <w:tblStylePr w:type="firstCol">
      <w:rPr>
        <w:sz w:val="22"/>
      </w:rPr>
      <w:tblPr/>
      <w:tcPr>
        <w:tcBorders>
          <w:right w:val="single" w:color="FABF8F" w:sz="12" w:space="0"/>
        </w:tcBorders>
      </w:tcPr>
    </w:tblStylePr>
    <w:tblStylePr w:type="lastCol">
      <w:rPr>
        <w:sz w:val="22"/>
      </w:rPr>
      <w:tblPr/>
      <w:tcPr>
        <w:tcBorders>
          <w:left w:val="single" w:color="FABF8F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indortrans.gov74.ru/mindortrans/activities/Transport/Marsrutyobsestvennogotransporta/Reestrmarsrutov.htm" TargetMode="External"/><Relationship Id="rId3" Type="http://schemas.openxmlformats.org/officeDocument/2006/relationships/hyperlink" Target="https://akgo74.ru/about/predpriyatiya-torgovli-obshchestvennogo-pitaniya-i-bytovogo-obsluzhivaniya.php" TargetMode="External"/><Relationship Id="rId4" Type="http://schemas.openxmlformats.org/officeDocument/2006/relationships/hyperlink" Target="consultantplus://offline/ref=E173688957AB4A79629BB9D2227485BFD5ABCCEA0A4761AB06D30E218A84A343B5D6F3255D961BD6874497940281C0E91B3054C672WAF8G" TargetMode="External"/><Relationship Id="rId5" Type="http://schemas.openxmlformats.org/officeDocument/2006/relationships/hyperlink" Target="consultantplus://offline/ref=E173688957AB4A79629BB9D2227485BFD5A1C4E60D4161AB06D30E218A84A343B5D6F3205D951585DF0B96C844D6D3EB1D3056C26EA8C304W4F1G" TargetMode="External"/><Relationship Id="rId6" Type="http://schemas.openxmlformats.org/officeDocument/2006/relationships/hyperlink" Target="consultantplus://offline/ref=E173688957AB4A79629BB9D2227485BFD5ABCCEA0A4761AB06D30E218A84A343B5D6F32956C141C6830DC09B1E83DAF71D2E54WCF4G" TargetMode="External"/><Relationship Id="rId7" Type="http://schemas.openxmlformats.org/officeDocument/2006/relationships/hyperlink" Target="consultantplus://offline/ref=E173688957AB4A79629BB9D2227485BFD5ABCCEA0A4761AB06D30E218A84A343B5D6F3275D931BD6874497940281C0E91B3054C672WAF8G" TargetMode="External"/><Relationship Id="rId8" Type="http://schemas.openxmlformats.org/officeDocument/2006/relationships/hyperlink" Target="consultantplus://offline/ref=E173688957AB4A79629BB9D2227485BFD5AECFEB094161AB06D30E218A84A343A7D6AB2C5F970E82D21EC09902W8F1G" TargetMode="External"/><Relationship Id="rId9" Type="http://schemas.openxmlformats.org/officeDocument/2006/relationships/hyperlink" Target="consultantplus://offline/ref=E173688957AB4A79629BB9D2227485BFD5A8C8EC074661AB06D30E218A84A343B5D6F3205D951081D40B96C844D6D3EB1D3056C26EA8C304W4F1G" TargetMode="External"/><Relationship Id="rId10" Type="http://schemas.openxmlformats.org/officeDocument/2006/relationships/hyperlink" Target="https://www.rts-tender.ru/" TargetMode="External"/><Relationship Id="rId11" Type="http://schemas.openxmlformats.org/officeDocument/2006/relationships/hyperlink" Target="https://akgo74.ru/administratsiya/predprinimatelstvo/yarmarochnaya-torgovlya/2022/&#1055;&#1086;&#1089;&#1090;&#1072;&#1085;&#1086;&#1074;&#1083;&#1077;&#1085;&#1080;&#1077; &#1086;&#1090; 24.02.22 &#8470;554-&#1087; &#1054;&#1073; &#1091;&#1090;&#1074;&#1077;&#1088;&#1078;&#1076;&#1077;&#1085;&#1080;&#1080; &#1087;&#1077;&#1088;&#1077;&#1095;&#1085;&#1103; &#1103;&#1088;&#1084;&#1072;&#1088;&#1086;&#1095;&#1085;&#1099;&#1093; &#1087;&#1083;&#1086;&#1097;&#1072;&#1076;&#1086;&#1082;.pdf" TargetMode="External"/><Relationship Id="rId12" Type="http://schemas.openxmlformats.org/officeDocument/2006/relationships/hyperlink" Target="https://akgo74.ru/administratsiya/predprinimatelstvo/yarmarochnaya-torgovlya/2022/&#1055;&#1086;&#1089;&#1090;&#1072;&#1085;&#1086;&#1074;&#1083;&#1077;&#1085;&#1080;&#1077; &#1086;&#1090; 24.02.22 &#8470;554-&#1087; &#1054;&#1073; &#1091;&#1090;&#1074;&#1077;&#1088;&#1078;&#1076;&#1077;&#1085;&#1080;&#1080; &#1087;&#1077;&#1088;&#1077;&#1095;&#1085;&#1103; &#1103;&#1088;&#1084;&#1072;&#1088;&#1086;&#1095;&#1085;&#1099;&#1093; &#1087;&#1083;&#1086;&#1097;&#1072;&#1076;&#1086;&#1082;.pdf" TargetMode="External"/><Relationship Id="rId13" Type="http://schemas.openxmlformats.org/officeDocument/2006/relationships/hyperlink" Target="https://akgo74.ru/documents/rasporyazheniya/2024-god/index.php" TargetMode="External"/><Relationship Id="rId14" Type="http://schemas.openxmlformats.org/officeDocument/2006/relationships/hyperlink" Target="consultantplus://offline/ref=E173688957AB4A79629BB9D2227485BFD5A0C8E7094E61AB06D30E218A84A343B5D6F3205D951080D00B96C844D6D3EB1D3056C26EA8C304W4F1G" TargetMode="External"/><Relationship Id="rId15" Type="http://schemas.openxmlformats.org/officeDocument/2006/relationships/header" Target="header1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AE5F7-34B0-46E5-8450-071C4C0B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Application>LibreOffice/7.6.0.3$Linux_X86_64 LibreOffice_project/60$Build-3</Application>
  <AppVersion>15.0000</AppVersion>
  <Pages>25</Pages>
  <Words>5599</Words>
  <Characters>42903</Characters>
  <CharactersWithSpaces>48297</CharactersWithSpaces>
  <Paragraphs>451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2021-05-25T10:10:00Z</dcterms:created>
  <dc:creator>Воробьева Елена Анатольевна</dc:creator>
  <dc:description/>
  <dc:language>ru-RU</dc:language>
  <cp:lastModifiedBy/>
  <dcterms:modified xsi:type="dcterms:W3CDTF">2026-03-10T12:37:58Z</dcterms:modified>
  <cp:revision>232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