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jc w:val="center"/>
        <w:rPr>
          <w:rFonts w:ascii="Segoe UI" w:hAnsi="Segoe UI" w:eastAsia="Segoe UI" w:cs="Segoe UI"/>
          <w:b/>
          <w:bCs/>
          <w:color w:val="3b4256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Segoe UI" w:hAnsi="Segoe UI" w:eastAsia="Segoe UI" w:cs="Segoe UI"/>
          <w:b/>
          <w:color w:val="3b4256"/>
          <w:sz w:val="24"/>
        </w:rPr>
        <w:t xml:space="preserve">Работодателям Челябинской области</w:t>
      </w:r>
      <w:r>
        <w:rPr>
          <w:rFonts w:ascii="Segoe UI" w:hAnsi="Segoe UI" w:eastAsia="Segoe UI" w:cs="Segoe UI"/>
          <w:b/>
          <w:bCs/>
          <w:color w:val="3b4256"/>
          <w:sz w:val="24"/>
          <w:szCs w:val="24"/>
          <w:highlight w:val="none"/>
        </w:rPr>
      </w:r>
      <w:r>
        <w:rPr>
          <w:rFonts w:ascii="Segoe UI" w:hAnsi="Segoe UI" w:eastAsia="Segoe UI" w:cs="Segoe UI"/>
          <w:b/>
          <w:bCs/>
          <w:color w:val="3b4256"/>
          <w:sz w:val="24"/>
          <w:szCs w:val="24"/>
          <w:highlight w:val="none"/>
        </w:rPr>
      </w:r>
    </w:p>
    <w:p>
      <w:pPr>
        <w:pStyle w:val="656"/>
        <w:ind w:left="0" w:right="0" w:firstLine="0"/>
        <w:jc w:val="center"/>
        <w:spacing w:before="0"/>
        <w:rPr>
          <w:sz w:val="36"/>
          <w:szCs w:val="3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Segoe UI" w:hAnsi="Segoe UI" w:eastAsia="Segoe UI" w:cs="Segoe UI"/>
          <w:b/>
          <w:color w:val="3b4256"/>
          <w:sz w:val="36"/>
          <w:szCs w:val="36"/>
        </w:rPr>
        <w:t xml:space="preserve">Всероссийские конкурсы по охране труда 2026</w:t>
      </w:r>
      <w:r>
        <w:rPr>
          <w:sz w:val="36"/>
          <w:szCs w:val="36"/>
        </w:rPr>
      </w:r>
      <w:r>
        <w:rPr>
          <w:rFonts w:ascii="Segoe UI" w:hAnsi="Segoe UI" w:eastAsia="Segoe UI" w:cs="Segoe UI"/>
          <w:b/>
          <w:color w:val="3b4256"/>
          <w:sz w:val="24"/>
          <w:highlight w:val="none"/>
        </w:rPr>
      </w:r>
      <w:r>
        <w:rPr>
          <w:rFonts w:ascii="Segoe UI" w:hAnsi="Segoe UI" w:eastAsia="Segoe UI" w:cs="Segoe UI"/>
          <w:sz w:val="24"/>
          <w:szCs w:val="24"/>
        </w:rPr>
      </w:r>
      <w:r>
        <w:rPr>
          <w:rFonts w:ascii="Segoe UI" w:hAnsi="Segoe UI" w:eastAsia="Segoe UI" w:cs="Segoe UI"/>
          <w:sz w:val="24"/>
          <w:szCs w:val="24"/>
        </w:rPr>
      </w:r>
      <w:r>
        <w:rPr>
          <w:sz w:val="36"/>
          <w:szCs w:val="36"/>
        </w:rPr>
      </w:r>
    </w:p>
    <w:p>
      <w:pPr>
        <w:rPr>
          <w:highlight w:val="none"/>
        </w:rPr>
      </w:pPr>
      <w:r>
        <w:t xml:space="preserve">09 июня 2026 года стартовал прием заявок на Всероссийские конкурсы по охране труда, где будут определены лучшие в стране работодатели, специалисты и организации в этой сфере (далее-Всероссийский Конкурс)</w:t>
      </w:r>
      <w:r/>
    </w:p>
    <w:p>
      <w:pPr>
        <w:ind w:left="0" w:right="0" w:firstLine="0"/>
        <w:spacing w:line="300" w:lineRule="atLeast"/>
        <w:shd w:val="clear" w:color="f9f9f9" w:fill="f9f9f9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Конкурс </w:t>
      </w:r>
      <w:r>
        <w:rPr>
          <w:rFonts w:ascii="Arial" w:hAnsi="Arial" w:eastAsia="Arial" w:cs="Arial"/>
          <w:b/>
          <w:color w:val="000000"/>
          <w:sz w:val="21"/>
        </w:rPr>
        <w:t xml:space="preserve">«Лучший специалист по охране труда»</w:t>
      </w:r>
      <w:r>
        <w:rPr>
          <w:rFonts w:ascii="Arial" w:hAnsi="Arial" w:eastAsia="Arial" w:cs="Arial"/>
          <w:color w:val="000000"/>
          <w:sz w:val="21"/>
        </w:rPr>
        <w:t xml:space="preserve"> проводится в целях повышения статуса специалистов по охране труда, подтверждения их квалификации, развития кадрового потенциала, стимулирования внедрения новых инструментов и технологий в области охраны труда, а также привлечения общественного внимания к </w:t>
      </w:r>
      <w:r>
        <w:rPr>
          <w:rFonts w:ascii="Arial" w:hAnsi="Arial" w:eastAsia="Arial" w:cs="Arial"/>
          <w:color w:val="000000"/>
          <w:sz w:val="21"/>
        </w:rPr>
        <w:t xml:space="preserve">данной сфере.</w:t>
      </w:r>
      <w:r/>
    </w:p>
    <w:p>
      <w:pPr>
        <w:ind w:left="0" w:right="0" w:firstLine="0"/>
        <w:spacing w:line="300" w:lineRule="atLeast"/>
        <w:shd w:val="clear" w:color="f9f9f9" w:fill="f9f9f9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000000"/>
          <w:sz w:val="21"/>
        </w:rPr>
        <w:t xml:space="preserve">К участию приглашаются</w:t>
      </w:r>
      <w:r>
        <w:rPr>
          <w:rFonts w:ascii="Arial" w:hAnsi="Arial" w:eastAsia="Arial" w:cs="Arial"/>
          <w:color w:val="000000"/>
          <w:sz w:val="21"/>
        </w:rPr>
        <w:t xml:space="preserve">:</w:t>
      </w:r>
      <w:r/>
    </w:p>
    <w:p>
      <w:pPr>
        <w:ind w:left="0" w:right="0" w:firstLine="0"/>
        <w:spacing w:line="300" w:lineRule="atLeast"/>
        <w:shd w:val="clear" w:color="f9f9f9" w:fill="f9f9f9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специалисты по охране труда; руководители служб охраны труда организаций; работники иных профессий, профессиональная деятельность которых напрямую связана с реализацией процессов (процедур) по охране труда.</w:t>
      </w:r>
      <w:r/>
    </w:p>
    <w:p>
      <w:pPr>
        <w:ind w:left="0" w:right="0" w:firstLine="0"/>
        <w:spacing w:line="300" w:lineRule="atLeast"/>
        <w:shd w:val="clear" w:color="f9f9f9" w:fill="f9f9f9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Участники должны работать на постоянной основе в организациях любой организационно-правовой формы и вида экономической деятельности, осуществляющих деятельность на территории Российской Федерации. Участие добровольное и бесплатное. Количество участников от</w:t>
      </w:r>
      <w:r>
        <w:rPr>
          <w:rFonts w:ascii="Arial" w:hAnsi="Arial" w:eastAsia="Arial" w:cs="Arial"/>
          <w:color w:val="000000"/>
          <w:sz w:val="21"/>
        </w:rPr>
        <w:t xml:space="preserve"> одной организации не ограничивается.</w:t>
      </w:r>
      <w:r/>
    </w:p>
    <w:p>
      <w:pPr>
        <w:ind w:left="0" w:right="0" w:firstLine="0"/>
        <w:spacing w:line="300" w:lineRule="atLeast"/>
        <w:shd w:val="clear" w:color="f9f9f9" w:fill="f9f9f9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000000"/>
          <w:sz w:val="21"/>
        </w:rPr>
        <w:t xml:space="preserve">Номинации конкурса</w:t>
      </w:r>
      <w:r>
        <w:rPr>
          <w:rFonts w:ascii="Arial" w:hAnsi="Arial" w:eastAsia="Arial" w:cs="Arial"/>
          <w:color w:val="000000"/>
          <w:sz w:val="21"/>
        </w:rPr>
        <w:t xml:space="preserve">:</w:t>
      </w:r>
      <w:r/>
    </w:p>
    <w:p>
      <w:pPr>
        <w:ind w:left="0" w:right="0" w:firstLine="0"/>
        <w:spacing w:line="300" w:lineRule="atLeast"/>
        <w:shd w:val="clear" w:color="f9f9f9" w:fill="f9f9f9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«Лучший специалист по охране труда предприятий малого бизнеса»; «Лучший специалист по охране труда предприятий среднего бизнеса»; «Лучший специалист по охране труда предприятий крупного бизнеса»; «Лучший специалист по охране труда предприятий бюджетной сфе</w:t>
      </w:r>
      <w:r>
        <w:rPr>
          <w:rFonts w:ascii="Arial" w:hAnsi="Arial" w:eastAsia="Arial" w:cs="Arial"/>
          <w:color w:val="000000"/>
          <w:sz w:val="21"/>
        </w:rPr>
        <w:t xml:space="preserve">ры».</w:t>
      </w:r>
      <w:r/>
    </w:p>
    <w:p>
      <w:pPr>
        <w:ind w:left="0" w:right="0" w:firstLine="0"/>
        <w:spacing w:line="300" w:lineRule="atLeast"/>
        <w:shd w:val="clear" w:color="f9f9f9" w:fill="f9f9f9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000000"/>
          <w:sz w:val="21"/>
        </w:rPr>
        <w:t xml:space="preserve">Этапы проведения</w:t>
      </w:r>
      <w:r>
        <w:rPr>
          <w:rFonts w:ascii="Arial" w:hAnsi="Arial" w:eastAsia="Arial" w:cs="Arial"/>
          <w:color w:val="000000"/>
          <w:sz w:val="21"/>
        </w:rPr>
        <w:t xml:space="preserve">:</w:t>
      </w:r>
      <w:r/>
    </w:p>
    <w:p>
      <w:pPr>
        <w:pStyle w:val="834"/>
        <w:numPr>
          <w:ilvl w:val="0"/>
          <w:numId w:val="1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000000"/>
          <w:sz w:val="24"/>
        </w:rPr>
        <w:t xml:space="preserve">Первый этап (заочный)</w:t>
      </w:r>
      <w:r>
        <w:rPr>
          <w:rFonts w:ascii="Arial" w:hAnsi="Arial" w:eastAsia="Arial" w:cs="Arial"/>
          <w:color w:val="000000"/>
          <w:sz w:val="24"/>
        </w:rPr>
        <w:t xml:space="preserve">– самостоятельная регистрация на интернет-ресурсе </w:t>
      </w:r>
      <w:hyperlink r:id="rId9" w:tooltip="http://vkot.mintrud.gov.ru/" w:history="1">
        <w:r>
          <w:rPr>
            <w:rStyle w:val="812"/>
            <w:rFonts w:ascii="Arial" w:hAnsi="Arial" w:eastAsia="Arial" w:cs="Arial"/>
            <w:color w:val="0000ee"/>
            <w:sz w:val="24"/>
            <w:u w:val="single"/>
          </w:rPr>
          <w:t xml:space="preserve">vkot.mintrud.gov.ru</w:t>
        </w:r>
      </w:hyperlink>
      <w:r>
        <w:rPr>
          <w:rFonts w:ascii="Arial" w:hAnsi="Arial" w:eastAsia="Arial" w:cs="Arial"/>
          <w:color w:val="000000"/>
          <w:sz w:val="24"/>
        </w:rPr>
        <w:t xml:space="preserve">, заполнение заявки и представление документов с самооценкой баллов. Отбираются по 50 участников в каждой номинации.</w:t>
      </w:r>
      <w:r/>
    </w:p>
    <w:p>
      <w:pPr>
        <w:pStyle w:val="834"/>
        <w:numPr>
          <w:ilvl w:val="0"/>
          <w:numId w:val="1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000000"/>
          <w:sz w:val="24"/>
        </w:rPr>
        <w:t xml:space="preserve">Второй этап (заочный)</w:t>
      </w:r>
      <w:r>
        <w:rPr>
          <w:rFonts w:ascii="Arial" w:hAnsi="Arial" w:eastAsia="Arial" w:cs="Arial"/>
          <w:color w:val="000000"/>
          <w:sz w:val="24"/>
        </w:rPr>
        <w:t xml:space="preserve">– удалённое тестирование по охране труда. Отбираются по 10 финалистов в каждой номинации (всего 40 человек).</w:t>
      </w:r>
      <w:r/>
    </w:p>
    <w:p>
      <w:pPr>
        <w:pStyle w:val="834"/>
        <w:numPr>
          <w:ilvl w:val="0"/>
          <w:numId w:val="1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000000"/>
          <w:sz w:val="24"/>
        </w:rPr>
        <w:t xml:space="preserve">Третий этап (заочный)</w:t>
      </w:r>
      <w:r>
        <w:rPr>
          <w:rFonts w:ascii="Arial" w:hAnsi="Arial" w:eastAsia="Arial" w:cs="Arial"/>
          <w:color w:val="000000"/>
          <w:sz w:val="24"/>
        </w:rPr>
        <w:t xml:space="preserve">– видеопрезентация лучшей практики по охране труда.</w:t>
      </w:r>
      <w:r/>
    </w:p>
    <w:p>
      <w:pPr>
        <w:pStyle w:val="834"/>
        <w:numPr>
          <w:ilvl w:val="0"/>
          <w:numId w:val="1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000000"/>
          <w:sz w:val="24"/>
        </w:rPr>
        <w:t xml:space="preserve">Четвёртый этап (очный)</w:t>
      </w:r>
      <w:r>
        <w:rPr>
          <w:rFonts w:ascii="Arial" w:hAnsi="Arial" w:eastAsia="Arial" w:cs="Arial"/>
          <w:color w:val="000000"/>
          <w:sz w:val="24"/>
        </w:rPr>
        <w:t xml:space="preserve">– 5-минутное тестирование в рамках Всероссийской недели охраны труда.</w:t>
      </w:r>
      <w:r/>
    </w:p>
    <w:p>
      <w:pPr>
        <w:ind w:left="0" w:right="0" w:firstLine="0"/>
        <w:spacing w:line="300" w:lineRule="atLeast"/>
        <w:shd w:val="clear" w:color="f9f9f9" w:fill="f9f9f9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Торжественная церемония награждения состоится в рамках Всероссийской недели охраны труда. Конкурсная комиссия вправе учреждать дополнительные награды. Органы исполнительной власти субъектов Российской Федерации в области охраны труда также могут устанавлив</w:t>
      </w:r>
      <w:r>
        <w:rPr>
          <w:rFonts w:ascii="Arial" w:hAnsi="Arial" w:eastAsia="Arial" w:cs="Arial"/>
          <w:color w:val="000000"/>
          <w:sz w:val="21"/>
        </w:rPr>
        <w:t xml:space="preserve">ать дополнительные номинации и поощрительные призы.</w:t>
      </w:r>
      <w:r/>
    </w:p>
    <w:p>
      <w:pPr>
        <w:ind w:left="0" w:right="0" w:firstLine="0"/>
        <w:spacing w:line="300" w:lineRule="atLeast"/>
        <w:shd w:val="clear" w:color="f9f9f9" w:fill="f9f9f9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Приказ о конкурсе и полезная информация опубликована на официальном интернет-ресурсе: </w:t>
      </w:r>
      <w:hyperlink r:id="rId10" w:tooltip="http://vkot.mintrud.gov.ru/" w:history="1">
        <w:r>
          <w:rPr>
            <w:rStyle w:val="812"/>
            <w:rFonts w:ascii="Arial" w:hAnsi="Arial" w:eastAsia="Arial" w:cs="Arial"/>
            <w:color w:val="0000ee"/>
            <w:sz w:val="21"/>
            <w:u w:val="single"/>
          </w:rPr>
          <w:t xml:space="preserve">vkot.mintrud.gov.ru</w:t>
        </w:r>
      </w:hyperlink>
      <w:r>
        <w:rPr>
          <w:rFonts w:ascii="Arial" w:hAnsi="Arial" w:eastAsia="Arial" w:cs="Arial"/>
          <w:color w:val="000000"/>
          <w:sz w:val="21"/>
        </w:rPr>
        <w:t xml:space="preserve">.</w:t>
      </w:r>
      <w:r/>
    </w:p>
    <w:p>
      <w:r>
        <w:rPr>
          <w:highlight w:val="none"/>
        </w:rPr>
      </w:r>
      <w:r>
        <w:rPr>
          <w:highlight w:val="none"/>
        </w:rPr>
      </w:r>
    </w:p>
    <w:sectPr>
      <w:footnotePr/>
      <w:endnotePr/>
      <w:type w:val="nextPage"/>
      <w:pgSz w:w="11906" w:h="16838" w:orient="portrait"/>
      <w:pgMar w:top="567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Arial" w:hAnsi="Arial" w:eastAsia="Arial" w:cs="Arial"/>
        <w:color w:val="000000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0"/>
    <w:next w:val="830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0"/>
    <w:next w:val="830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0"/>
    <w:next w:val="830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0"/>
    <w:next w:val="830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0"/>
    <w:next w:val="830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0"/>
    <w:next w:val="830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0"/>
    <w:next w:val="830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0"/>
    <w:next w:val="830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0"/>
    <w:next w:val="830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Title"/>
    <w:basedOn w:val="830"/>
    <w:next w:val="830"/>
    <w:link w:val="67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3">
    <w:name w:val="Title Char"/>
    <w:link w:val="672"/>
    <w:uiPriority w:val="10"/>
    <w:rPr>
      <w:sz w:val="48"/>
      <w:szCs w:val="48"/>
    </w:rPr>
  </w:style>
  <w:style w:type="paragraph" w:styleId="674">
    <w:name w:val="Subtitle"/>
    <w:basedOn w:val="830"/>
    <w:next w:val="830"/>
    <w:link w:val="675"/>
    <w:uiPriority w:val="11"/>
    <w:qFormat/>
    <w:pPr>
      <w:spacing w:before="200" w:after="200"/>
    </w:pPr>
    <w:rPr>
      <w:sz w:val="24"/>
      <w:szCs w:val="24"/>
    </w:rPr>
  </w:style>
  <w:style w:type="character" w:styleId="675">
    <w:name w:val="Subtitle Char"/>
    <w:link w:val="674"/>
    <w:uiPriority w:val="11"/>
    <w:rPr>
      <w:sz w:val="24"/>
      <w:szCs w:val="24"/>
    </w:rPr>
  </w:style>
  <w:style w:type="paragraph" w:styleId="676">
    <w:name w:val="Quote"/>
    <w:basedOn w:val="830"/>
    <w:next w:val="830"/>
    <w:link w:val="677"/>
    <w:uiPriority w:val="29"/>
    <w:qFormat/>
    <w:pPr>
      <w:ind w:left="720" w:right="720"/>
    </w:pPr>
    <w:rPr>
      <w:i/>
    </w:rPr>
  </w:style>
  <w:style w:type="character" w:styleId="677">
    <w:name w:val="Quote Char"/>
    <w:link w:val="676"/>
    <w:uiPriority w:val="29"/>
    <w:rPr>
      <w:i/>
    </w:rPr>
  </w:style>
  <w:style w:type="paragraph" w:styleId="678">
    <w:name w:val="Intense Quote"/>
    <w:basedOn w:val="830"/>
    <w:next w:val="830"/>
    <w:link w:val="6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9">
    <w:name w:val="Intense Quote Char"/>
    <w:link w:val="678"/>
    <w:uiPriority w:val="30"/>
    <w:rPr>
      <w:i/>
    </w:rPr>
  </w:style>
  <w:style w:type="paragraph" w:styleId="680">
    <w:name w:val="Header"/>
    <w:basedOn w:val="830"/>
    <w:link w:val="6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1">
    <w:name w:val="Header Char"/>
    <w:link w:val="680"/>
    <w:uiPriority w:val="99"/>
  </w:style>
  <w:style w:type="paragraph" w:styleId="682">
    <w:name w:val="Footer"/>
    <w:basedOn w:val="830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Footer Char"/>
    <w:link w:val="682"/>
    <w:uiPriority w:val="99"/>
  </w:style>
  <w:style w:type="paragraph" w:styleId="684">
    <w:name w:val="Caption"/>
    <w:basedOn w:val="830"/>
    <w:next w:val="83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5">
    <w:name w:val="Caption Char"/>
    <w:basedOn w:val="684"/>
    <w:link w:val="682"/>
    <w:uiPriority w:val="99"/>
  </w:style>
  <w:style w:type="table" w:styleId="686">
    <w:name w:val="Table Grid"/>
    <w:basedOn w:val="8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6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0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3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7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2">
    <w:name w:val="Hyperlink"/>
    <w:uiPriority w:val="99"/>
    <w:unhideWhenUsed/>
    <w:rPr>
      <w:color w:val="0000ff" w:themeColor="hyperlink"/>
      <w:u w:val="single"/>
    </w:r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paragraph" w:styleId="833">
    <w:name w:val="No Spacing"/>
    <w:basedOn w:val="830"/>
    <w:uiPriority w:val="1"/>
    <w:qFormat/>
    <w:pPr>
      <w:spacing w:after="0" w:line="240" w:lineRule="auto"/>
    </w:pPr>
  </w:style>
  <w:style w:type="paragraph" w:styleId="834">
    <w:name w:val="List Paragraph"/>
    <w:basedOn w:val="830"/>
    <w:uiPriority w:val="34"/>
    <w:qFormat/>
    <w:pPr>
      <w:contextualSpacing/>
      <w:ind w:left="720"/>
    </w:pPr>
  </w:style>
  <w:style w:type="character" w:styleId="835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://vkot.mintrud.gov.ru/" TargetMode="External"/><Relationship Id="rId10" Type="http://schemas.openxmlformats.org/officeDocument/2006/relationships/hyperlink" Target="http://vkot.mintrud.gov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3</cp:revision>
  <dcterms:modified xsi:type="dcterms:W3CDTF">2026-06-23T11:18:01Z</dcterms:modified>
</cp:coreProperties>
</file>