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15.04.2026</w:t>
        <w:tab/>
        <w:t>№1177-п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046"/>
        <w:jc w:val="both"/>
        <w:rPr/>
      </w:pPr>
      <w:r>
        <w:rPr>
          <w:sz w:val="28"/>
          <w:szCs w:val="28"/>
        </w:rPr>
        <w:t xml:space="preserve">О внесении изменений и дополнений в постановление администрации Копейского городского округа                    от 18.12.2020  № 2891-п </w:t>
      </w:r>
    </w:p>
    <w:p>
      <w:pPr>
        <w:pStyle w:val="Normal"/>
        <w:ind w:right="585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85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20 марта 2025 года            № 33-ФЗ «Об общих принципах организации местного самоуправления в единой системе публичной власти», от 27 июля 2010 года № 210-ФЗ            «</w:t>
      </w:r>
      <w:r>
        <w:rPr>
          <w:rFonts w:eastAsia="Arial"/>
          <w:color w:val="22272F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 xml:space="preserve">», </w:t>
      </w:r>
      <w:r>
        <w:rPr>
          <w:sz w:val="28"/>
          <w:szCs w:val="28"/>
          <w:lang w:eastAsia="ru-RU"/>
        </w:rPr>
        <w:t>постановлением Правительства Челябинской области от 18.07.2012 № 380-П «</w:t>
      </w:r>
      <w:r>
        <w:rPr>
          <w:rFonts w:eastAsia="Arial"/>
          <w:color w:themeColor="text1" w:val="000000"/>
          <w:sz w:val="28"/>
          <w:szCs w:val="28"/>
        </w:rPr>
        <w:t>Об утверждении Перечня государственных услуг, предоставление которых организуется в областном государственном автономном учреждении «Многофункциональный центр предоставления государственных и муниципальных услуг Челябинской области</w:t>
      </w:r>
      <w:r>
        <w:rPr>
          <w:color w:themeColor="text1" w:val="000000"/>
          <w:sz w:val="28"/>
          <w:szCs w:val="28"/>
          <w:lang w:eastAsia="ru-RU"/>
        </w:rPr>
        <w:t xml:space="preserve">», </w:t>
      </w:r>
      <w:r>
        <w:rPr>
          <w:sz w:val="28"/>
          <w:szCs w:val="28"/>
          <w:lang w:eastAsia="ru-RU"/>
        </w:rPr>
        <w:t>Типовым (рекомендуемый) перечнем муниципальных услуг, предоставление которых организуется по принципу «одного окна» в МФЦ Челябинской области органами местного самоуправления муниципальных образований  Челябинской области, утвержденным протоколом заседания Комиссии по повышению качества предоставления государственных и муниципальных услуг Челябинской области 30.03.2021 № 1 (в редакции от 25.11.2025)</w:t>
      </w:r>
      <w:r>
        <w:rPr>
          <w:sz w:val="28"/>
          <w:szCs w:val="28"/>
        </w:rPr>
        <w:t xml:space="preserve"> и Уставом муниципального образования «Копейский городской округ», администрация Копейского городского округа ПОСТАНОВЛЯЕТ: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Копейского городского округа от 18.12.2020 № 2891-п «Об утверждении перечней муниципальных услуг и государственных услуг, переданных органами исполнительной власти Челябинской области для исполнения органам местного самоуправления, предоставление которых организуется в Многофункциональном центре по предоставлению государственных и муниципальных услуг на территории Копейского городского округа» (далее - постановление) следующие изменения и дополнения: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1 постановления дополнить подпунктом 3 следующего содержания: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«3) перечень иных услуг (функций), предоставление которых организуется в Многофункциональном центре предоставления государственных и муниципальных услуг на территории Копейского городского округа (приложение 3)»;</w:t>
      </w:r>
    </w:p>
    <w:p>
      <w:pPr>
        <w:pStyle w:val="Normal"/>
        <w:ind w:firstLine="567"/>
        <w:jc w:val="both"/>
        <w:rPr/>
      </w:pPr>
      <w:r>
        <w:rPr>
          <w:color w:val="000000"/>
          <w:sz w:val="28"/>
          <w:szCs w:val="28"/>
        </w:rPr>
        <w:t>2) в приложении 2 к постановлению исключить пункт 37;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дополнить постановление приложением 3 </w:t>
      </w:r>
      <w:r>
        <w:rPr>
          <w:color w:val="000000"/>
          <w:sz w:val="28"/>
          <w:szCs w:val="28"/>
          <w:shd w:fill="FFFFFF" w:val="clear"/>
        </w:rPr>
        <w:t>(прилагается).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Копейского городского округа (Петренко Е.А.) </w:t>
      </w:r>
      <w:r>
        <w:fldChar w:fldCharType="begin"/>
      </w:r>
      <w:r>
        <w:rPr>
          <w:rStyle w:val="Style"/>
          <w:sz w:val="28"/>
          <w:szCs w:val="28"/>
          <w:color w:val="000000"/>
        </w:rPr>
        <w:instrText xml:space="preserve"> HYPERLINK "https://internet.garant.ru/" \l "/document/402774601/entry/0"</w:instrText>
      </w:r>
      <w:r>
        <w:rPr>
          <w:rStyle w:val="Style"/>
          <w:sz w:val="28"/>
          <w:szCs w:val="28"/>
          <w:color w:val="000000"/>
        </w:rPr>
        <w:fldChar w:fldCharType="separate"/>
      </w:r>
      <w:r>
        <w:rPr>
          <w:rStyle w:val="Style"/>
          <w:color w:val="000000"/>
          <w:sz w:val="28"/>
          <w:szCs w:val="28"/>
        </w:rPr>
        <w:t>опубликовать</w:t>
      </w:r>
      <w:r>
        <w:rPr>
          <w:rStyle w:val="Style"/>
          <w:sz w:val="28"/>
          <w:szCs w:val="28"/>
          <w:color w:val="000000"/>
        </w:rPr>
        <w:fldChar w:fldCharType="end"/>
      </w:r>
      <w:r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 </w:t>
      </w:r>
      <w:hyperlink r:id="rId2">
        <w:r>
          <w:rPr>
            <w:rStyle w:val="Style"/>
            <w:color w:val="000000"/>
            <w:sz w:val="28"/>
            <w:szCs w:val="28"/>
          </w:rPr>
          <w:t>сайте</w:t>
        </w:r>
      </w:hyperlink>
      <w:r>
        <w:rPr>
          <w:sz w:val="28"/>
          <w:szCs w:val="28"/>
        </w:rPr>
        <w:t xml:space="preserve"> администрации Копейского городского округа в сети Интернет.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счёт средств, предусмотренных на эти цели.</w:t>
      </w:r>
    </w:p>
    <w:p>
      <w:pPr>
        <w:pStyle w:val="Normal"/>
        <w:ind w:firstLine="567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4. Контроль исполнения  настоящего постановления  возложить  на заместителя Главы городского округа по социальному развитию  Ангеловского А.А.</w:t>
      </w:r>
    </w:p>
    <w:p>
      <w:pPr>
        <w:pStyle w:val="Normal"/>
        <w:ind w:firstLine="567"/>
        <w:jc w:val="both"/>
        <w:rPr/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680" w:gutter="0" w:header="709" w:top="1134" w:footer="0" w:bottom="1134"/>
          <w:pgNumType w:start="2"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color w:val="000000"/>
          <w:sz w:val="22"/>
          <w:szCs w:val="22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tbl>
      <w:tblPr>
        <w:tblW w:w="9639" w:type="dxa"/>
        <w:jc w:val="left"/>
        <w:tblInd w:w="-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24"/>
        <w:gridCol w:w="4314"/>
      </w:tblGrid>
      <w:tr>
        <w:trPr/>
        <w:tc>
          <w:tcPr>
            <w:tcW w:w="5324" w:type="dxa"/>
            <w:tcBorders/>
          </w:tcPr>
          <w:p>
            <w:pPr>
              <w:pStyle w:val="Normal"/>
              <w:widowControl w:val="false"/>
              <w:spacing w:before="0" w:after="16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4314" w:type="dxa"/>
            <w:tcBorders/>
          </w:tcPr>
          <w:p>
            <w:pPr>
              <w:pStyle w:val="Normal"/>
              <w:widowControl w:val="false"/>
              <w:ind w:firstLine="709" w:right="-119"/>
              <w:jc w:val="both"/>
              <w:rPr/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 w:cs="Tinos" w:ascii="Tinos" w:hAnsi="Tinos"/>
                <w:sz w:val="28"/>
                <w:szCs w:val="28"/>
                <w:lang w:eastAsia="en-US"/>
              </w:rPr>
              <w:t>ПРИЛОЖЕНИЕ 3</w:t>
            </w:r>
          </w:p>
          <w:p>
            <w:pPr>
              <w:pStyle w:val="Normal"/>
              <w:widowControl w:val="false"/>
              <w:ind w:firstLine="709" w:right="-119"/>
              <w:jc w:val="both"/>
              <w:rPr>
                <w:rFonts w:ascii="Tinos" w:hAnsi="Tinos" w:eastAsia="Calibri" w:cs="Tinos"/>
                <w:sz w:val="28"/>
                <w:szCs w:val="28"/>
                <w:lang w:eastAsia="en-US"/>
              </w:rPr>
            </w:pPr>
            <w:r>
              <w:rPr>
                <w:rFonts w:eastAsia="Calibri" w:cs="Tinos" w:ascii="Tinos" w:hAnsi="Tinos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firstLine="709" w:right="-119"/>
              <w:jc w:val="both"/>
              <w:rPr/>
            </w:pPr>
            <w:r>
              <w:rPr>
                <w:rFonts w:eastAsia="Tinos" w:cs="Tinos" w:ascii="Tinos" w:hAnsi="Tinos"/>
                <w:sz w:val="28"/>
                <w:szCs w:val="28"/>
                <w:lang w:eastAsia="en-US"/>
              </w:rPr>
              <w:t xml:space="preserve">     </w:t>
            </w:r>
            <w:r>
              <w:rPr>
                <w:rFonts w:eastAsia="Calibri" w:cs="Tinos" w:ascii="Tinos" w:hAnsi="Tinos"/>
                <w:sz w:val="28"/>
                <w:szCs w:val="28"/>
                <w:lang w:eastAsia="en-US"/>
              </w:rPr>
              <w:t>УТВЕРЖДЕНО</w:t>
            </w:r>
          </w:p>
          <w:p>
            <w:pPr>
              <w:pStyle w:val="Normal"/>
              <w:widowControl w:val="false"/>
              <w:ind w:right="-119"/>
              <w:jc w:val="both"/>
              <w:rPr/>
            </w:pPr>
            <w:r>
              <w:rPr>
                <w:rFonts w:eastAsia="Calibri" w:cs="Tinos" w:ascii="Tinos" w:hAnsi="Tinos"/>
                <w:sz w:val="28"/>
                <w:szCs w:val="28"/>
                <w:lang w:eastAsia="en-US"/>
              </w:rPr>
              <w:t>постановлением администрации                                                                    Копейского городского округа</w:t>
            </w:r>
          </w:p>
          <w:p>
            <w:pPr>
              <w:pStyle w:val="Normal"/>
              <w:widowControl w:val="false"/>
              <w:ind w:right="-119"/>
              <w:jc w:val="both"/>
              <w:rPr/>
            </w:pPr>
            <w:r>
              <w:rPr>
                <w:rFonts w:eastAsia="Tinos" w:cs="Tinos" w:ascii="Tinos" w:hAnsi="Tinos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 w:cs="Tinos" w:ascii="Tinos" w:hAnsi="Tinos"/>
                <w:sz w:val="28"/>
                <w:szCs w:val="28"/>
                <w:lang w:eastAsia="en-US"/>
              </w:rPr>
              <w:t>от  18 декабря 2020 года № 2891-п</w:t>
            </w:r>
          </w:p>
          <w:p>
            <w:pPr>
              <w:pStyle w:val="Normal"/>
              <w:widowControl w:val="false"/>
              <w:spacing w:before="0" w:after="160"/>
              <w:ind w:firstLine="709" w:right="-11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spacing w:before="0" w:after="160"/>
              <w:ind w:firstLine="709" w:right="-11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sz w:val="28"/>
          <w:szCs w:val="28"/>
          <w:lang w:eastAsia="ru-RU"/>
        </w:rPr>
        <w:t xml:space="preserve">Перечень иных услуг (функций), </w:t>
      </w:r>
      <w:r>
        <w:rPr>
          <w:sz w:val="28"/>
          <w:szCs w:val="28"/>
        </w:rPr>
        <w:t xml:space="preserve">предоставление которых организуется </w:t>
      </w:r>
      <w:r>
        <w:rPr>
          <w:sz w:val="28"/>
          <w:szCs w:val="28"/>
          <w:lang w:eastAsia="ru-RU"/>
        </w:rPr>
        <w:t>в Многофункциональном   центре   предоставления  государственных  и муниципальных  услуг  на  территории  Копейского  городского  округа</w:t>
      </w:r>
    </w:p>
    <w:p>
      <w:pPr>
        <w:pStyle w:val="Normal"/>
        <w:ind w:firstLine="709"/>
        <w:rPr/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851" w:leader="none"/>
        </w:tabs>
        <w:ind w:firstLine="709" w:right="-1"/>
        <w:jc w:val="both"/>
        <w:rPr/>
      </w:pPr>
      <w:r>
        <w:rPr>
          <w:bCs/>
          <w:sz w:val="28"/>
          <w:szCs w:val="28"/>
          <w:lang w:eastAsia="ru-RU"/>
        </w:rPr>
        <w:t>1. Единовременная выплата гражданам, заключившим контракт с Министерством обороны Российской Федерации</w:t>
      </w:r>
      <w:r>
        <w:rPr>
          <w:rFonts w:eastAsia="Calibri"/>
          <w:sz w:val="28"/>
          <w:szCs w:val="28"/>
        </w:rPr>
        <w:t xml:space="preserve">. </w:t>
      </w:r>
    </w:p>
    <w:p>
      <w:pPr>
        <w:pStyle w:val="Normal"/>
        <w:ind w:firstLine="709" w:right="-1"/>
        <w:jc w:val="both"/>
        <w:rPr/>
      </w:pPr>
      <w:r>
        <w:rPr>
          <w:sz w:val="28"/>
          <w:szCs w:val="28"/>
          <w:lang w:eastAsia="ru-RU"/>
        </w:rPr>
        <w:t>2. Единовременная денежная выплата лицам, взявшим на себя обязанность по погребению погибших (умерших) граждан, принимавших участие в специальной военной операции</w:t>
      </w:r>
      <w:r>
        <w:rPr>
          <w:rFonts w:eastAsia="Calibri"/>
          <w:sz w:val="28"/>
          <w:szCs w:val="28"/>
        </w:rPr>
        <w:t>.</w:t>
      </w:r>
    </w:p>
    <w:p>
      <w:pPr>
        <w:pStyle w:val="Normal"/>
        <w:ind w:firstLine="709" w:right="-1"/>
        <w:jc w:val="both"/>
        <w:rPr/>
      </w:pPr>
      <w:r>
        <w:rPr/>
      </w:r>
    </w:p>
    <w:p>
      <w:pPr>
        <w:pStyle w:val="Normal"/>
        <w:ind w:firstLine="709" w:right="-1"/>
        <w:jc w:val="both"/>
        <w:rPr/>
      </w:pPr>
      <w:r>
        <w:rPr/>
      </w:r>
    </w:p>
    <w:p>
      <w:pPr>
        <w:pStyle w:val="Normal"/>
        <w:ind w:firstLine="709" w:right="-1"/>
        <w:jc w:val="both"/>
        <w:rPr/>
      </w:pPr>
      <w:r>
        <w:rPr/>
      </w:r>
    </w:p>
    <w:p>
      <w:pPr>
        <w:pStyle w:val="Normal"/>
        <w:ind w:right="-284"/>
        <w:rPr/>
      </w:pPr>
      <w:r>
        <w:rPr>
          <w:sz w:val="28"/>
          <w:szCs w:val="28"/>
        </w:rPr>
        <w:t xml:space="preserve">Заместитель Главы городского округа, </w:t>
      </w:r>
    </w:p>
    <w:p>
      <w:pPr>
        <w:pStyle w:val="Normal"/>
        <w:ind w:right="-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руководитель аппарата администрации                                         Ю.В. Тимофеева</w:t>
      </w:r>
    </w:p>
    <w:sectPr>
      <w:headerReference w:type="default" r:id="rId6"/>
      <w:headerReference w:type="first" r:id="rId7"/>
      <w:type w:val="nextPage"/>
      <w:pgSz w:w="11906" w:h="16838"/>
      <w:pgMar w:left="567" w:right="1701" w:gutter="0" w:header="709" w:top="1134" w:footer="0" w:bottom="1134"/>
      <w:pgNumType w:start="2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auto"/>
    <w:pitch w:val="default"/>
  </w:font>
  <w:font w:name="Wingdings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no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2390" cy="170815"/>
              <wp:effectExtent l="0" t="0" r="0" b="0"/>
              <wp:wrapSquare wrapText="bothSides"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60" cy="170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</w:p>
                        <w:p>
                          <w:pPr>
                            <w:pStyle w:val="Style1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5760" rIns="5760" tIns="5760" bIns="57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stroked="f" o:allowincell="f" style="position:absolute;margin-left:235.25pt;margin-top:0.05pt;width:5.65pt;height:13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t>2</w:t>
                    </w:r>
                  </w:p>
                  <w:p>
                    <w:pPr>
                      <w:pStyle w:val="Style1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bidi="ar-SA" w:val="ru-RU" w:eastAsia="zh-C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 w:customStyle="1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FootnoteReference" w:customStyle="1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PageNumber">
    <w:name w:val="page number"/>
    <w:basedOn w:val="DefaultParagraphFont"/>
    <w:qFormat/>
    <w:rPr/>
  </w:style>
  <w:style w:type="paragraph" w:styleId="Style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5"/>
    <w:qFormat/>
    <w:pPr/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/>
      <w:contextualSpacing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7" w:customStyle="1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Style8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0" w:customStyle="1">
    <w:name w:val="Заголовок таблицы"/>
    <w:basedOn w:val="Style9"/>
    <w:qFormat/>
    <w:pPr>
      <w:jc w:val="center"/>
    </w:pPr>
    <w:rPr>
      <w:b/>
      <w:bCs/>
    </w:rPr>
  </w:style>
  <w:style w:type="paragraph" w:styleId="Style11" w:customStyle="1">
    <w:name w:val="Содержимое врезки"/>
    <w:basedOn w:val="Normal"/>
    <w:qFormat/>
    <w:pPr/>
    <w:rPr/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30"/>
    </w:rPr>
  </w:style>
  <w:style w:type="paragraph" w:styleId="1" w:customStyle="1">
    <w:name w:val="Без интервала1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bidi="ar-SA" w:val="ru-RU"/>
    </w:rPr>
  </w:style>
  <w:style w:type="numbering" w:styleId="Style12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_blank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3</Pages>
  <Words>427</Words>
  <Characters>3212</Characters>
  <CharactersWithSpaces>3963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2026-04-15T06:06:00Z</dcterms:created>
  <dc:creator>Шмидт</dc:creator>
  <dc:description/>
  <dc:language>ru-RU</dc:language>
  <cp:lastModifiedBy/>
  <cp:lastPrinted>2026-04-02T15:53:00Z</cp:lastPrinted>
  <dcterms:modified xsi:type="dcterms:W3CDTF">2026-04-15T11:08:47Z</dcterms:modified>
  <cp:revision>3</cp:revision>
  <dc:subject/>
  <dc:title>О внесении изменений в постановление администрации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