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</w:t>
      </w:r>
      <w:r w:rsidR="008A7A7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92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D16166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D16166">
        <w:rPr>
          <w:rFonts w:ascii="Times New Roman" w:hAnsi="Times New Roman" w:cs="Times New Roman"/>
          <w:sz w:val="24"/>
          <w:szCs w:val="24"/>
        </w:rPr>
        <w:t>22 по 31.10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D16166">
        <w:rPr>
          <w:rFonts w:ascii="Times New Roman" w:hAnsi="Times New Roman" w:cs="Times New Roman"/>
          <w:sz w:val="24"/>
          <w:szCs w:val="24"/>
        </w:rPr>
        <w:t>22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Копейского городского округа </w:t>
      </w:r>
    </w:p>
    <w:p w:rsidR="00FE55A6" w:rsidRPr="001A522C" w:rsidRDefault="00FE55A6" w:rsidP="00D1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Копейского</w:t>
      </w:r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16166">
        <w:rPr>
          <w:rFonts w:ascii="Times New Roman" w:hAnsi="Times New Roman" w:cs="Times New Roman"/>
          <w:sz w:val="24"/>
          <w:szCs w:val="24"/>
        </w:rPr>
        <w:t>вещает 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D16166">
        <w:rPr>
          <w:rFonts w:ascii="Times New Roman" w:hAnsi="Times New Roman" w:cs="Times New Roman"/>
          <w:b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D16166">
        <w:rPr>
          <w:rFonts w:ascii="Times New Roman" w:hAnsi="Times New Roman" w:cs="Times New Roman"/>
          <w:b/>
          <w:sz w:val="24"/>
          <w:szCs w:val="24"/>
        </w:rPr>
        <w:t>22 по 31.10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D16166">
        <w:rPr>
          <w:rFonts w:ascii="Times New Roman" w:hAnsi="Times New Roman" w:cs="Times New Roman"/>
          <w:b/>
          <w:sz w:val="24"/>
          <w:szCs w:val="24"/>
        </w:rPr>
        <w:t>22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территории К</w:t>
      </w:r>
      <w:r w:rsidR="00D16166">
        <w:rPr>
          <w:rFonts w:ascii="Times New Roman" w:hAnsi="Times New Roman" w:cs="Times New Roman"/>
          <w:b/>
          <w:sz w:val="24"/>
          <w:szCs w:val="24"/>
        </w:rPr>
        <w:t>опейского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>; 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46BFD">
        <w:rPr>
          <w:rFonts w:ascii="Times New Roman" w:hAnsi="Times New Roman" w:cs="Times New Roman"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A46BFD">
        <w:rPr>
          <w:rFonts w:ascii="Times New Roman" w:hAnsi="Times New Roman" w:cs="Times New Roman"/>
          <w:sz w:val="24"/>
          <w:szCs w:val="24"/>
        </w:rPr>
        <w:t>2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A46BFD">
        <w:rPr>
          <w:rFonts w:ascii="Times New Roman" w:hAnsi="Times New Roman" w:cs="Times New Roman"/>
          <w:sz w:val="24"/>
          <w:szCs w:val="24"/>
        </w:rPr>
        <w:t>2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p w:rsidR="00FC2CBD" w:rsidRDefault="00FC2CBD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933"/>
        <w:gridCol w:w="1844"/>
        <w:gridCol w:w="1846"/>
      </w:tblGrid>
      <w:tr w:rsidR="00120C32" w:rsidRPr="00120C32" w:rsidTr="00120C32">
        <w:trPr>
          <w:trHeight w:val="4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/п (лот)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DC7DBA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торгового места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120C32" w:rsidRPr="00120C32" w:rsidTr="00120C32">
        <w:trPr>
          <w:trHeight w:val="4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Торговые места для размещения нестационарных торговых объектов сезонной торговли для реализации плодоовощной продукции, бахчевых культур, цветов, рассады и посадочного материала</w:t>
            </w:r>
          </w:p>
        </w:tc>
      </w:tr>
      <w:tr w:rsidR="00120C32" w:rsidRPr="00120C32" w:rsidTr="00120C32">
        <w:trPr>
          <w:trHeight w:val="1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Славы, 31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Международная, 69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Электровозная, 26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массив Железнодорожный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32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25 северо-восточнее магазина «Татьяна»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28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Крымская, 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5) сведения об отсутствии задолженности по арендным платежам в бюджет муниципального образования «</w:t>
      </w:r>
      <w:proofErr w:type="spellStart"/>
      <w:r w:rsidRPr="005042C8">
        <w:rPr>
          <w:rFonts w:ascii="Times New Roman" w:hAnsi="Times New Roman" w:cs="Times New Roman"/>
          <w:sz w:val="24"/>
          <w:szCs w:val="24"/>
        </w:rPr>
        <w:t>Копейский</w:t>
      </w:r>
      <w:proofErr w:type="spellEnd"/>
      <w:r w:rsidRPr="005042C8">
        <w:rPr>
          <w:rFonts w:ascii="Times New Roman" w:hAnsi="Times New Roman" w:cs="Times New Roman"/>
          <w:sz w:val="24"/>
          <w:szCs w:val="24"/>
        </w:rPr>
        <w:t xml:space="preserve"> городской округ» (предоставляются Организатором самостоятельно);</w:t>
      </w:r>
    </w:p>
    <w:p w:rsid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6)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82388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банковские реквизиты расчетного счета.</w:t>
      </w:r>
    </w:p>
    <w:p w:rsidR="00C4778B" w:rsidRPr="00C4778B" w:rsidRDefault="00C4778B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10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марта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20C32">
        <w:rPr>
          <w:rFonts w:ascii="Times New Roman" w:hAnsi="Times New Roman" w:cs="Times New Roman"/>
          <w:b/>
          <w:sz w:val="24"/>
          <w:szCs w:val="24"/>
        </w:rPr>
        <w:t>22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4898">
        <w:rPr>
          <w:rFonts w:ascii="Times New Roman" w:hAnsi="Times New Roman" w:cs="Times New Roman"/>
          <w:b/>
          <w:sz w:val="24"/>
          <w:szCs w:val="24"/>
        </w:rPr>
        <w:t>17-0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0 час. </w:t>
      </w:r>
      <w:r w:rsidR="000079CC">
        <w:rPr>
          <w:rFonts w:ascii="Times New Roman" w:hAnsi="Times New Roman" w:cs="Times New Roman"/>
          <w:b/>
          <w:sz w:val="24"/>
          <w:szCs w:val="24"/>
        </w:rPr>
        <w:t>10</w:t>
      </w:r>
      <w:r w:rsidR="006102EA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9CC">
        <w:rPr>
          <w:rFonts w:ascii="Times New Roman" w:hAnsi="Times New Roman" w:cs="Times New Roman"/>
          <w:b/>
          <w:sz w:val="24"/>
          <w:szCs w:val="24"/>
        </w:rPr>
        <w:t>22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отказывает в приеме заявки на участие в аукционе в случае: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заявки на участие в аукционе лицом, не имеющим права действовать от имени хозяйствующего субъекта;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подачи заявки на участие в аукционе по истечении установленного срока для подачи заявок.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1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 к участию в аукционе в случае: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1) подачи неполного пакета документов;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2) некорректного и (или) неполного заполнения формы заявки на участие в аукционе;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3) если лицо, подавшее заявку на участие в аукционе, не является хозяйствующим субъектом;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наличия сведений о хозяйствующем субъекте, 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наличия задолженности по уплате налогов, сборов, страховых взносов, пеней, штрафов, процентов, а также по арендным платежам в бюджет Копейского городского округа.</w:t>
      </w:r>
      <w:bookmarkEnd w:id="1"/>
    </w:p>
    <w:p w:rsidR="00C4148E" w:rsidRPr="000079C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0079CC">
        <w:rPr>
          <w:rFonts w:ascii="Times New Roman" w:hAnsi="Times New Roman" w:cs="Times New Roman"/>
          <w:b/>
          <w:sz w:val="24"/>
          <w:szCs w:val="24"/>
        </w:rPr>
        <w:t>13 апреля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2022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1AAF" w:rsidRPr="00B3507E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C21AAF" w:rsidRPr="00B3507E">
        <w:rPr>
          <w:rFonts w:ascii="Times New Roman" w:hAnsi="Times New Roman" w:cs="Times New Roman"/>
          <w:b/>
          <w:sz w:val="24"/>
          <w:szCs w:val="24"/>
        </w:rPr>
        <w:t>,</w:t>
      </w:r>
      <w:r w:rsidR="004B4898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4B48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0079CC">
        <w:rPr>
          <w:rFonts w:ascii="Times New Roman" w:hAnsi="Times New Roman" w:cs="Times New Roman"/>
          <w:b/>
          <w:sz w:val="24"/>
          <w:szCs w:val="24"/>
        </w:rPr>
        <w:t>-00 часов в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и Копейского городского округа</w:t>
      </w:r>
      <w:r w:rsidR="000079CC">
        <w:rPr>
          <w:rFonts w:ascii="Times New Roman" w:hAnsi="Times New Roman" w:cs="Times New Roman"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ул. Ленина, 52, 4 этаж зал заседаний</w:t>
      </w:r>
      <w:r w:rsidR="000079CC" w:rsidRPr="000079CC">
        <w:rPr>
          <w:rFonts w:ascii="Times New Roman" w:hAnsi="Times New Roman" w:cs="Times New Roman"/>
          <w:b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</w:t>
      </w:r>
      <w:proofErr w:type="gramStart"/>
      <w:r w:rsidRPr="00B77EBB">
        <w:rPr>
          <w:rFonts w:ascii="Times New Roman" w:hAnsi="Times New Roman" w:cs="Times New Roman"/>
          <w:sz w:val="24"/>
          <w:szCs w:val="24"/>
        </w:rPr>
        <w:t>на участие в аукционе за право на заключение договора в размере</w:t>
      </w:r>
      <w:proofErr w:type="gramEnd"/>
      <w:r w:rsidRPr="00B77EBB">
        <w:rPr>
          <w:rFonts w:ascii="Times New Roman" w:hAnsi="Times New Roman" w:cs="Times New Roman"/>
          <w:sz w:val="24"/>
          <w:szCs w:val="24"/>
        </w:rPr>
        <w:t xml:space="preserve"> пятидесяти процентов от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FC2CBD">
        <w:rPr>
          <w:rFonts w:ascii="Times New Roman" w:hAnsi="Times New Roman" w:cs="Times New Roman"/>
          <w:sz w:val="24"/>
          <w:szCs w:val="24"/>
        </w:rPr>
        <w:t>до 17</w:t>
      </w:r>
      <w:r w:rsidR="004B4898">
        <w:rPr>
          <w:rFonts w:ascii="Times New Roman" w:hAnsi="Times New Roman" w:cs="Times New Roman"/>
          <w:sz w:val="24"/>
          <w:szCs w:val="24"/>
        </w:rPr>
        <w:t>-0</w:t>
      </w:r>
      <w:r w:rsidR="000079CC">
        <w:rPr>
          <w:rFonts w:ascii="Times New Roman" w:hAnsi="Times New Roman" w:cs="Times New Roman"/>
          <w:sz w:val="24"/>
          <w:szCs w:val="24"/>
        </w:rPr>
        <w:t>0</w:t>
      </w:r>
      <w:r w:rsidR="004B4898">
        <w:rPr>
          <w:rFonts w:ascii="Times New Roman" w:hAnsi="Times New Roman" w:cs="Times New Roman"/>
          <w:sz w:val="24"/>
          <w:szCs w:val="24"/>
        </w:rPr>
        <w:t xml:space="preserve"> час. 08</w:t>
      </w:r>
      <w:r w:rsidR="000079C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FC2CBD">
        <w:rPr>
          <w:rFonts w:ascii="Times New Roman" w:hAnsi="Times New Roman" w:cs="Times New Roman"/>
          <w:sz w:val="24"/>
          <w:szCs w:val="24"/>
        </w:rPr>
        <w:t xml:space="preserve"> 202</w:t>
      </w:r>
      <w:r w:rsidR="000079CC">
        <w:rPr>
          <w:rFonts w:ascii="Times New Roman" w:hAnsi="Times New Roman" w:cs="Times New Roman"/>
          <w:sz w:val="24"/>
          <w:szCs w:val="24"/>
        </w:rPr>
        <w:t>2</w:t>
      </w:r>
      <w:r w:rsidR="005042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0988" w:rsidRPr="00B52574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ЧЕЛЯБИНСК БАНКА РОССИИ //</w:t>
      </w: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л/с 05693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034030, </w:t>
      </w:r>
      <w:proofErr w:type="gram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03232643757280006900, 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40102810645370000062, БИК 017501500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</w:t>
      </w:r>
      <w:r w:rsidR="000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нестационарных объектов сезонной торговли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Копейского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>га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E344B0" w:rsidRPr="00B3507E">
        <w:rPr>
          <w:rFonts w:ascii="Times New Roman" w:hAnsi="Times New Roman" w:cs="Times New Roman"/>
          <w:b/>
          <w:sz w:val="24"/>
          <w:szCs w:val="24"/>
        </w:rPr>
        <w:t>4 этаж зал заседаний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15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9CC">
        <w:rPr>
          <w:rFonts w:ascii="Times New Roman" w:hAnsi="Times New Roman" w:cs="Times New Roman"/>
          <w:b/>
          <w:sz w:val="24"/>
          <w:szCs w:val="24"/>
        </w:rPr>
        <w:t>22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0563DD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57F88" w:rsidRDefault="00E748CB" w:rsidP="0000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B03">
        <w:rPr>
          <w:rFonts w:ascii="Times New Roman" w:hAnsi="Times New Roman" w:cs="Times New Roman"/>
          <w:sz w:val="24"/>
          <w:szCs w:val="24"/>
        </w:rPr>
        <w:t xml:space="preserve">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="000079CC">
        <w:rPr>
          <w:rFonts w:ascii="Times New Roman" w:hAnsi="Times New Roman" w:cs="Times New Roman"/>
          <w:sz w:val="24"/>
          <w:szCs w:val="24"/>
        </w:rPr>
        <w:t xml:space="preserve">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079CC">
        <w:rPr>
          <w:rFonts w:ascii="Times New Roman" w:hAnsi="Times New Roman" w:cs="Times New Roman"/>
          <w:sz w:val="24"/>
          <w:szCs w:val="24"/>
        </w:rPr>
        <w:t>22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079C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Копейского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 w:rsidRPr="00E344B0">
        <w:rPr>
          <w:rFonts w:ascii="Times New Roman" w:hAnsi="Times New Roman" w:cs="Times New Roman"/>
          <w:b/>
          <w:sz w:val="24"/>
          <w:szCs w:val="24"/>
        </w:rPr>
        <w:t>десяти</w:t>
      </w:r>
      <w:r w:rsidRPr="00E344B0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44B0">
        <w:rPr>
          <w:rFonts w:ascii="Times New Roman" w:hAnsi="Times New Roman" w:cs="Times New Roman"/>
          <w:b/>
          <w:sz w:val="24"/>
          <w:szCs w:val="24"/>
        </w:rPr>
        <w:t>пятидесяти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559"/>
        <w:gridCol w:w="1550"/>
        <w:gridCol w:w="1147"/>
        <w:gridCol w:w="1395"/>
        <w:gridCol w:w="1196"/>
        <w:gridCol w:w="1196"/>
      </w:tblGrid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147" w:type="dxa"/>
          </w:tcPr>
          <w:p w:rsidR="00557F88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торгового места</w:t>
            </w:r>
            <w:r w:rsidR="00557F88" w:rsidRPr="00384A00">
              <w:rPr>
                <w:rFonts w:ascii="Times New Roman" w:eastAsia="Times New Roman" w:hAnsi="Times New Roman" w:cs="Times New Roman"/>
              </w:rPr>
              <w:t>, м</w:t>
            </w:r>
            <w:proofErr w:type="gramStart"/>
            <w:r w:rsidR="00557F88"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(184</w:t>
            </w:r>
            <w:r w:rsidR="00C71A81">
              <w:rPr>
                <w:rFonts w:ascii="Times New Roman" w:eastAsia="Times New Roman" w:hAnsi="Times New Roman" w:cs="Times New Roman"/>
              </w:rPr>
              <w:t xml:space="preserve">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5C" w:rsidRPr="00384A00" w:rsidTr="00DF275C">
        <w:tc>
          <w:tcPr>
            <w:tcW w:w="702" w:type="dxa"/>
          </w:tcPr>
          <w:p w:rsidR="00DF275C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DF275C" w:rsidRPr="00120C32" w:rsidRDefault="00DF275C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Славы, 31</w:t>
            </w:r>
          </w:p>
          <w:p w:rsidR="00DF275C" w:rsidRPr="00120C32" w:rsidRDefault="00DF275C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DF275C" w:rsidRPr="00A57467" w:rsidRDefault="00DF275C" w:rsidP="004B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</w:t>
            </w:r>
            <w:r w:rsidR="00E344B0" w:rsidRPr="00A574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7467" w:rsidRPr="00A57467">
              <w:rPr>
                <w:rFonts w:ascii="Times New Roman" w:hAnsi="Times New Roman" w:cs="Times New Roman"/>
                <w:sz w:val="16"/>
                <w:szCs w:val="16"/>
              </w:rPr>
              <w:t>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F275C" w:rsidRPr="00384A00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DF275C" w:rsidRPr="004B634E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63772</w:t>
            </w:r>
            <w:r w:rsidR="00DF27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DF275C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6377,2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F275C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</w:t>
            </w:r>
            <w:r w:rsidR="00DF275C">
              <w:rPr>
                <w:rFonts w:ascii="Times New Roman" w:hAnsi="Times New Roman" w:cs="Times New Roman"/>
              </w:rPr>
              <w:t>,00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Международная, </w:t>
            </w: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Плодоовощная продукция, </w:t>
            </w:r>
            <w:r w:rsidRPr="00A57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95" w:type="dxa"/>
          </w:tcPr>
          <w:p w:rsidR="00767229" w:rsidRPr="004B634E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57395,00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5739,50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28697,50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63772,00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6377,20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63772,00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6377,20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63772,00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6377,20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63772,00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6377,20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63772,00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6377,20</w:t>
            </w:r>
          </w:p>
        </w:tc>
        <w:tc>
          <w:tcPr>
            <w:tcW w:w="1196" w:type="dxa"/>
          </w:tcPr>
          <w:p w:rsidR="00767229" w:rsidRDefault="0076722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D73BDB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51018</w:t>
            </w:r>
            <w:r w:rsidR="007672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767229" w:rsidRDefault="00D73BDB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5101,8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67229" w:rsidRPr="004B634E" w:rsidRDefault="00D73BDB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</w:t>
            </w:r>
            <w:r w:rsidR="00767229">
              <w:rPr>
                <w:rFonts w:ascii="Times New Roman" w:hAnsi="Times New Roman" w:cs="Times New Roman"/>
              </w:rPr>
              <w:t>,00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D73BDB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19132</w:t>
            </w:r>
            <w:r w:rsidR="007672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767229" w:rsidRDefault="00D73BDB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1913,2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67229" w:rsidRPr="004B634E" w:rsidRDefault="00D73BDB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9566,00</w:t>
            </w:r>
          </w:p>
        </w:tc>
      </w:tr>
      <w:tr w:rsidR="00D73BDB" w:rsidRPr="00384A00" w:rsidTr="00DF275C">
        <w:tc>
          <w:tcPr>
            <w:tcW w:w="702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9" w:type="dxa"/>
          </w:tcPr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Электровозная, 26</w:t>
            </w:r>
          </w:p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550" w:type="dxa"/>
          </w:tcPr>
          <w:p w:rsidR="00D73BDB" w:rsidRPr="00A57467" w:rsidRDefault="00D73BDB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51018,00</w:t>
            </w:r>
          </w:p>
        </w:tc>
        <w:tc>
          <w:tcPr>
            <w:tcW w:w="1196" w:type="dxa"/>
          </w:tcPr>
          <w:p w:rsidR="00D73BDB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5101,80</w:t>
            </w:r>
          </w:p>
        </w:tc>
        <w:tc>
          <w:tcPr>
            <w:tcW w:w="1196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25509,00</w:t>
            </w:r>
          </w:p>
        </w:tc>
      </w:tr>
      <w:tr w:rsidR="00D73BDB" w:rsidRPr="00384A00" w:rsidTr="00DF275C">
        <w:tc>
          <w:tcPr>
            <w:tcW w:w="702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550" w:type="dxa"/>
          </w:tcPr>
          <w:p w:rsidR="00D73BDB" w:rsidRPr="00A57467" w:rsidRDefault="00D73BDB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D73BDB" w:rsidRPr="004B634E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38263,00</w:t>
            </w:r>
          </w:p>
        </w:tc>
        <w:tc>
          <w:tcPr>
            <w:tcW w:w="1196" w:type="dxa"/>
          </w:tcPr>
          <w:p w:rsidR="00D73BDB" w:rsidRPr="004B634E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3826,30</w:t>
            </w:r>
          </w:p>
        </w:tc>
        <w:tc>
          <w:tcPr>
            <w:tcW w:w="1196" w:type="dxa"/>
          </w:tcPr>
          <w:p w:rsidR="00D73BDB" w:rsidRPr="004B634E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19131,50</w:t>
            </w:r>
          </w:p>
        </w:tc>
      </w:tr>
      <w:tr w:rsidR="00D73BDB" w:rsidRPr="00384A00" w:rsidTr="00DF275C">
        <w:tc>
          <w:tcPr>
            <w:tcW w:w="702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D73BDB" w:rsidRPr="00A57467" w:rsidRDefault="00D73BDB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38263,00</w:t>
            </w:r>
          </w:p>
        </w:tc>
        <w:tc>
          <w:tcPr>
            <w:tcW w:w="1196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3826,30</w:t>
            </w:r>
          </w:p>
        </w:tc>
        <w:tc>
          <w:tcPr>
            <w:tcW w:w="1196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19131,50</w:t>
            </w:r>
          </w:p>
        </w:tc>
      </w:tr>
      <w:tr w:rsidR="00D73BDB" w:rsidRPr="00384A00" w:rsidTr="00DF275C">
        <w:tc>
          <w:tcPr>
            <w:tcW w:w="702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32</w:t>
            </w:r>
          </w:p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D73BDB" w:rsidRPr="00A57467" w:rsidRDefault="00D73BDB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 xml:space="preserve">Плодоовощная продукция, бахчевые </w:t>
            </w:r>
            <w:r w:rsidRPr="00A57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культуры, цветы, рассада, посадочный материал</w:t>
            </w:r>
          </w:p>
        </w:tc>
        <w:tc>
          <w:tcPr>
            <w:tcW w:w="1147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95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38263,00</w:t>
            </w:r>
          </w:p>
        </w:tc>
        <w:tc>
          <w:tcPr>
            <w:tcW w:w="1196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3826,30</w:t>
            </w:r>
          </w:p>
        </w:tc>
        <w:tc>
          <w:tcPr>
            <w:tcW w:w="1196" w:type="dxa"/>
          </w:tcPr>
          <w:p w:rsidR="00D73BDB" w:rsidRPr="004B634E" w:rsidRDefault="00D73BDB" w:rsidP="00D7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19131,50</w:t>
            </w:r>
          </w:p>
        </w:tc>
      </w:tr>
      <w:tr w:rsidR="00D73BDB" w:rsidRPr="00384A00" w:rsidTr="00DF275C">
        <w:tc>
          <w:tcPr>
            <w:tcW w:w="702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9" w:type="dxa"/>
          </w:tcPr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25 северо-восточнее магазина «Татьяна»</w:t>
            </w:r>
          </w:p>
          <w:p w:rsidR="00D73BDB" w:rsidRPr="00120C32" w:rsidRDefault="00D73BDB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550" w:type="dxa"/>
          </w:tcPr>
          <w:p w:rsidR="00D73BDB" w:rsidRPr="00A57467" w:rsidRDefault="00D73BDB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73BDB" w:rsidRPr="00384A00" w:rsidRDefault="00D73BD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D73BDB" w:rsidRPr="004B634E" w:rsidRDefault="002C73D1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</w:t>
            </w:r>
            <w:r w:rsidR="00D73BD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D73BDB" w:rsidRPr="004B634E" w:rsidRDefault="002C73D1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3188,6</w:t>
            </w:r>
            <w:r w:rsidR="00D73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73BDB" w:rsidRPr="004B634E" w:rsidRDefault="002C73D1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15943,0</w:t>
            </w:r>
            <w:r w:rsidR="00D73BDB">
              <w:rPr>
                <w:rFonts w:ascii="Times New Roman" w:hAnsi="Times New Roman" w:cs="Times New Roman"/>
              </w:rPr>
              <w:t>0</w:t>
            </w:r>
          </w:p>
        </w:tc>
      </w:tr>
      <w:tr w:rsidR="002C73D1" w:rsidRPr="00384A00" w:rsidTr="00DF275C">
        <w:tc>
          <w:tcPr>
            <w:tcW w:w="702" w:type="dxa"/>
          </w:tcPr>
          <w:p w:rsidR="002C73D1" w:rsidRPr="00384A00" w:rsidRDefault="002C73D1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</w:tcPr>
          <w:p w:rsidR="002C73D1" w:rsidRPr="00120C32" w:rsidRDefault="002C73D1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28</w:t>
            </w:r>
          </w:p>
          <w:p w:rsidR="002C73D1" w:rsidRPr="00120C32" w:rsidRDefault="002C73D1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550" w:type="dxa"/>
          </w:tcPr>
          <w:p w:rsidR="002C73D1" w:rsidRPr="00A57467" w:rsidRDefault="002C73D1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2C73D1" w:rsidRPr="00384A00" w:rsidRDefault="002C73D1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  <w:tc>
          <w:tcPr>
            <w:tcW w:w="1196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3188,60</w:t>
            </w:r>
          </w:p>
        </w:tc>
        <w:tc>
          <w:tcPr>
            <w:tcW w:w="1196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15943,00</w:t>
            </w:r>
          </w:p>
        </w:tc>
      </w:tr>
      <w:tr w:rsidR="002C73D1" w:rsidRPr="00384A00" w:rsidTr="00DF275C">
        <w:tc>
          <w:tcPr>
            <w:tcW w:w="702" w:type="dxa"/>
          </w:tcPr>
          <w:p w:rsidR="002C73D1" w:rsidRPr="00384A00" w:rsidRDefault="002C73D1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2C73D1" w:rsidRPr="00120C32" w:rsidRDefault="002C73D1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2C73D1" w:rsidRPr="00120C32" w:rsidRDefault="002C73D1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550" w:type="dxa"/>
          </w:tcPr>
          <w:p w:rsidR="002C73D1" w:rsidRPr="00A57467" w:rsidRDefault="002C73D1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2C73D1" w:rsidRPr="00384A00" w:rsidRDefault="002C73D1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  <w:tc>
          <w:tcPr>
            <w:tcW w:w="1196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3188,60</w:t>
            </w:r>
          </w:p>
        </w:tc>
        <w:tc>
          <w:tcPr>
            <w:tcW w:w="1196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15943,00</w:t>
            </w:r>
          </w:p>
        </w:tc>
      </w:tr>
      <w:tr w:rsidR="002C73D1" w:rsidRPr="00384A00" w:rsidTr="00DF275C">
        <w:tc>
          <w:tcPr>
            <w:tcW w:w="702" w:type="dxa"/>
          </w:tcPr>
          <w:p w:rsidR="002C73D1" w:rsidRPr="00384A00" w:rsidRDefault="002C73D1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</w:tcPr>
          <w:p w:rsidR="002C73D1" w:rsidRPr="00120C32" w:rsidRDefault="002C73D1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Крымская, 9</w:t>
            </w:r>
          </w:p>
          <w:p w:rsidR="002C73D1" w:rsidRPr="00120C32" w:rsidRDefault="002C73D1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550" w:type="dxa"/>
          </w:tcPr>
          <w:p w:rsidR="002C73D1" w:rsidRPr="00A57467" w:rsidRDefault="002C73D1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2C73D1" w:rsidRPr="00384A00" w:rsidRDefault="002C73D1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31886,00</w:t>
            </w:r>
          </w:p>
        </w:tc>
        <w:tc>
          <w:tcPr>
            <w:tcW w:w="1196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3188,60</w:t>
            </w:r>
          </w:p>
        </w:tc>
        <w:tc>
          <w:tcPr>
            <w:tcW w:w="1196" w:type="dxa"/>
          </w:tcPr>
          <w:p w:rsidR="002C73D1" w:rsidRPr="004B634E" w:rsidRDefault="002C73D1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15943,00</w:t>
            </w:r>
          </w:p>
        </w:tc>
      </w:tr>
    </w:tbl>
    <w:p w:rsidR="00017B5C" w:rsidRPr="002C73D1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 w:rsidRPr="002C73D1">
        <w:rPr>
          <w:rFonts w:ascii="Times New Roman" w:hAnsi="Times New Roman" w:cs="Times New Roman"/>
          <w:sz w:val="24"/>
          <w:szCs w:val="24"/>
        </w:rPr>
        <w:t>7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2C73D1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5"/>
      <w:bookmarkEnd w:id="2"/>
      <w:r w:rsidRPr="002C73D1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</w:t>
      </w:r>
      <w:r w:rsidR="0030139B" w:rsidRPr="002C73D1">
        <w:rPr>
          <w:rFonts w:ascii="Times New Roman" w:hAnsi="Times New Roman" w:cs="Times New Roman"/>
          <w:sz w:val="24"/>
          <w:szCs w:val="24"/>
        </w:rPr>
        <w:t>«</w:t>
      </w:r>
      <w:r w:rsidRPr="002C73D1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C73D1">
        <w:rPr>
          <w:rFonts w:ascii="Times New Roman" w:hAnsi="Times New Roman" w:cs="Times New Roman"/>
          <w:sz w:val="24"/>
          <w:szCs w:val="24"/>
        </w:rPr>
        <w:t>»</w:t>
      </w:r>
      <w:r w:rsidRPr="002C73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73D1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C73D1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6"/>
      <w:bookmarkEnd w:id="3"/>
      <w:r w:rsidRPr="002C73D1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4"/>
      <w:r w:rsidRPr="002C73D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5"/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2C73D1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C73D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C73D1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1"/>
      <w:r w:rsidRPr="002C73D1">
        <w:rPr>
          <w:rFonts w:ascii="Times New Roman" w:hAnsi="Times New Roman" w:cs="Times New Roman"/>
          <w:sz w:val="24"/>
          <w:szCs w:val="24"/>
        </w:rPr>
        <w:t>8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C73D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C73D1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bookmarkEnd w:id="6"/>
    <w:p w:rsidR="00017B5C" w:rsidRPr="002C73D1" w:rsidRDefault="00A57467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9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CB2E0F" w:rsidRPr="002C73D1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10. </w:t>
      </w: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Если договор в течение тридцати календарных дней со дня направления победителю аукциона проекта указанного договора не был им подписан и представлен в УЭР, УЭР направляет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2E0F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11. В случае если в течение тридцати календарных дней со дня направления участнику аукциона, который сделал предпоследнее предложение о цене предмета аукциона, проекта договора, он не представил в УЭР, подписанный им договор, Управление вправе объявить о</w:t>
      </w:r>
      <w:r w:rsidR="002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повторного аукциона. 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победителя, 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098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то задаток на участие в аукционе таким участникам не возвращается, денежные средства, внесенные в качестве задатка на участие в аукционе, поступают в</w:t>
      </w:r>
      <w:proofErr w:type="gramEnd"/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 городского округа.</w:t>
      </w:r>
      <w:bookmarkEnd w:id="7"/>
    </w:p>
    <w:p w:rsidR="0030782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C73D1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823" w:rsidRPr="002C73D1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32D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7039F3" w:rsidRPr="002C73D1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8B64AA" w:rsidRPr="002C73D1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C73D1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C73D1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Pr="002C73D1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Начальник отдела по инвестиционной политике,</w:t>
      </w: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поддержке и развитию предпринимательства                                                  </w:t>
      </w:r>
      <w:r w:rsidR="00CB2E0F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Pr="002C73D1">
        <w:rPr>
          <w:rFonts w:ascii="Times New Roman" w:hAnsi="Times New Roman" w:cs="Times New Roman"/>
          <w:sz w:val="24"/>
          <w:szCs w:val="24"/>
        </w:rPr>
        <w:t>Е.А. Воробьева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307823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201885" w:rsidRDefault="00201885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D50988" w:rsidRDefault="00D50988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B2E0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3C31A7" w:rsidRDefault="003C31A7" w:rsidP="00984320">
      <w:pPr>
        <w:pStyle w:val="ab"/>
        <w:rPr>
          <w:rFonts w:ascii="Times New Roman" w:hAnsi="Times New Roman" w:cs="Times New Roman"/>
        </w:rPr>
      </w:pP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2C73D1" w:rsidP="00984320">
      <w:pPr>
        <w:pStyle w:val="ab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4320" w:rsidRPr="0019107E">
        <w:rPr>
          <w:rFonts w:ascii="Times New Roman" w:hAnsi="Times New Roman" w:cs="Times New Roman"/>
        </w:rPr>
        <w:t>подп</w:t>
      </w:r>
      <w:r w:rsidR="00984320"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</w:rPr>
        <w:t>), МП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2C73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3D1">
        <w:rPr>
          <w:rFonts w:ascii="Times New Roman" w:hAnsi="Times New Roman" w:cs="Times New Roman"/>
        </w:rPr>
        <w:t>(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2C73D1">
        <w:rPr>
          <w:rFonts w:ascii="Times New Roman" w:hAnsi="Times New Roman" w:cs="Times New Roman"/>
        </w:rPr>
        <w:t>), МП</w:t>
      </w: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CB7CDA" w:rsidRDefault="00CB7CDA" w:rsidP="00CB7CDA">
      <w:pPr>
        <w:pStyle w:val="ab"/>
        <w:jc w:val="center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Приложение: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 xml:space="preserve">3) выписка из Единого государственного реестра индивидуальных </w:t>
      </w:r>
      <w:r w:rsidRPr="003C31A7">
        <w:rPr>
          <w:rFonts w:ascii="Times New Roman" w:hAnsi="Times New Roman" w:cs="Times New Roman"/>
        </w:rPr>
        <w:lastRenderedPageBreak/>
        <w:t>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4)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 w:rsidR="002C73D1">
        <w:rPr>
          <w:rFonts w:ascii="Times New Roman" w:hAnsi="Times New Roman" w:cs="Times New Roman"/>
        </w:rPr>
        <w:t>осов, пеней, штрафов, процентов. В случае наличия задолженности прилагается справка о состоянии расчетов по налогам и сборам, страховым взносам, пеням, штрафам, процентам организаций и индивидуальных предпринимателей и документы, подтверждающие оплату задолженности;</w:t>
      </w:r>
    </w:p>
    <w:p w:rsidR="009B69C9" w:rsidRDefault="00CB2E0F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7CDA" w:rsidRPr="003C31A7">
        <w:rPr>
          <w:rFonts w:ascii="Times New Roman" w:hAnsi="Times New Roman" w:cs="Times New Roman"/>
        </w:rPr>
        <w:t>) документ, подтверждающий полномочия лица на осуществлени</w:t>
      </w:r>
      <w:r w:rsidR="00EB5147">
        <w:rPr>
          <w:rFonts w:ascii="Times New Roman" w:hAnsi="Times New Roman" w:cs="Times New Roman"/>
        </w:rPr>
        <w:t>е действий от имени претендента;</w:t>
      </w:r>
    </w:p>
    <w:p w:rsidR="00EB5147" w:rsidRPr="00EB5147" w:rsidRDefault="00CB2E0F" w:rsidP="00EB514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5147" w:rsidRPr="00EB5147">
        <w:rPr>
          <w:rFonts w:ascii="Times New Roman" w:hAnsi="Times New Roman" w:cs="Times New Roman"/>
          <w:sz w:val="24"/>
          <w:szCs w:val="24"/>
          <w:lang w:eastAsia="ru-RU"/>
        </w:rPr>
        <w:t>) банковские реквизиты расчетного счета.</w:t>
      </w:r>
    </w:p>
    <w:sectPr w:rsidR="00EB5147" w:rsidRPr="00EB5147" w:rsidSect="00CB2E0F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A7" w:rsidRDefault="001727A7" w:rsidP="006A4D8F">
      <w:pPr>
        <w:spacing w:after="0" w:line="240" w:lineRule="auto"/>
      </w:pPr>
      <w:r>
        <w:separator/>
      </w:r>
    </w:p>
  </w:endnote>
  <w:endnote w:type="continuationSeparator" w:id="0">
    <w:p w:rsidR="001727A7" w:rsidRDefault="001727A7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A7" w:rsidRDefault="001727A7" w:rsidP="006A4D8F">
      <w:pPr>
        <w:spacing w:after="0" w:line="240" w:lineRule="auto"/>
      </w:pPr>
      <w:r>
        <w:separator/>
      </w:r>
    </w:p>
  </w:footnote>
  <w:footnote w:type="continuationSeparator" w:id="0">
    <w:p w:rsidR="001727A7" w:rsidRDefault="001727A7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1727A7" w:rsidRDefault="001727A7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8A7A7F">
          <w:rPr>
            <w:rFonts w:ascii="Times New Roman" w:hAnsi="Times New Roman" w:cs="Times New Roman"/>
            <w:noProof/>
          </w:rPr>
          <w:t>8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35382"/>
    <w:multiLevelType w:val="hybridMultilevel"/>
    <w:tmpl w:val="34A61A7C"/>
    <w:lvl w:ilvl="0" w:tplc="BEF659A2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079CC"/>
    <w:rsid w:val="00015BAE"/>
    <w:rsid w:val="00017B1F"/>
    <w:rsid w:val="00017B5C"/>
    <w:rsid w:val="00044994"/>
    <w:rsid w:val="000563DD"/>
    <w:rsid w:val="00092564"/>
    <w:rsid w:val="000B3456"/>
    <w:rsid w:val="000F728D"/>
    <w:rsid w:val="00120C32"/>
    <w:rsid w:val="001222A0"/>
    <w:rsid w:val="00125D8B"/>
    <w:rsid w:val="00134BBB"/>
    <w:rsid w:val="00144DED"/>
    <w:rsid w:val="001727A7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15C04"/>
    <w:rsid w:val="002434E3"/>
    <w:rsid w:val="00253939"/>
    <w:rsid w:val="00262ED2"/>
    <w:rsid w:val="00271D3F"/>
    <w:rsid w:val="0028126D"/>
    <w:rsid w:val="002C73D1"/>
    <w:rsid w:val="002E005A"/>
    <w:rsid w:val="002F3F59"/>
    <w:rsid w:val="0030139B"/>
    <w:rsid w:val="00307823"/>
    <w:rsid w:val="00307C56"/>
    <w:rsid w:val="0036431E"/>
    <w:rsid w:val="00365FB2"/>
    <w:rsid w:val="00375845"/>
    <w:rsid w:val="0037587A"/>
    <w:rsid w:val="00384A00"/>
    <w:rsid w:val="003C31A7"/>
    <w:rsid w:val="003D749B"/>
    <w:rsid w:val="004664BE"/>
    <w:rsid w:val="004B4898"/>
    <w:rsid w:val="004B634E"/>
    <w:rsid w:val="004C2706"/>
    <w:rsid w:val="005042C8"/>
    <w:rsid w:val="00513264"/>
    <w:rsid w:val="00514E50"/>
    <w:rsid w:val="00546E3D"/>
    <w:rsid w:val="00557F88"/>
    <w:rsid w:val="00563204"/>
    <w:rsid w:val="0056596E"/>
    <w:rsid w:val="00597C5F"/>
    <w:rsid w:val="005A3488"/>
    <w:rsid w:val="005A4A71"/>
    <w:rsid w:val="005D652F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6651"/>
    <w:rsid w:val="006E515B"/>
    <w:rsid w:val="007039F3"/>
    <w:rsid w:val="00705F80"/>
    <w:rsid w:val="007136A8"/>
    <w:rsid w:val="00765B1D"/>
    <w:rsid w:val="00767229"/>
    <w:rsid w:val="007A776C"/>
    <w:rsid w:val="007D6AE9"/>
    <w:rsid w:val="007F33DA"/>
    <w:rsid w:val="007F4B8E"/>
    <w:rsid w:val="007F556E"/>
    <w:rsid w:val="00823888"/>
    <w:rsid w:val="00833694"/>
    <w:rsid w:val="00850A27"/>
    <w:rsid w:val="008A7A7F"/>
    <w:rsid w:val="008B4620"/>
    <w:rsid w:val="008B64AA"/>
    <w:rsid w:val="008C27F7"/>
    <w:rsid w:val="008E5D9D"/>
    <w:rsid w:val="008F248F"/>
    <w:rsid w:val="00923DBE"/>
    <w:rsid w:val="00925F32"/>
    <w:rsid w:val="00934A2B"/>
    <w:rsid w:val="009472E9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A1699C"/>
    <w:rsid w:val="00A26DF9"/>
    <w:rsid w:val="00A46BFD"/>
    <w:rsid w:val="00A57467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677C"/>
    <w:rsid w:val="00B321F4"/>
    <w:rsid w:val="00B3507E"/>
    <w:rsid w:val="00B44D7A"/>
    <w:rsid w:val="00B52574"/>
    <w:rsid w:val="00B77EBB"/>
    <w:rsid w:val="00BC177B"/>
    <w:rsid w:val="00BC4209"/>
    <w:rsid w:val="00BF232A"/>
    <w:rsid w:val="00C21AAF"/>
    <w:rsid w:val="00C4148E"/>
    <w:rsid w:val="00C4778B"/>
    <w:rsid w:val="00C71A81"/>
    <w:rsid w:val="00CB2E0F"/>
    <w:rsid w:val="00CB7CDA"/>
    <w:rsid w:val="00CC0D98"/>
    <w:rsid w:val="00CC2A4A"/>
    <w:rsid w:val="00CD14D7"/>
    <w:rsid w:val="00CD75E4"/>
    <w:rsid w:val="00CE1333"/>
    <w:rsid w:val="00CF19EE"/>
    <w:rsid w:val="00CF1FDD"/>
    <w:rsid w:val="00D0085F"/>
    <w:rsid w:val="00D16166"/>
    <w:rsid w:val="00D219EC"/>
    <w:rsid w:val="00D24042"/>
    <w:rsid w:val="00D50988"/>
    <w:rsid w:val="00D52294"/>
    <w:rsid w:val="00D73BDB"/>
    <w:rsid w:val="00D73ECE"/>
    <w:rsid w:val="00D92E98"/>
    <w:rsid w:val="00DC7B61"/>
    <w:rsid w:val="00DC7DBA"/>
    <w:rsid w:val="00DF275C"/>
    <w:rsid w:val="00E344B0"/>
    <w:rsid w:val="00E476DF"/>
    <w:rsid w:val="00E748CB"/>
    <w:rsid w:val="00EA0D30"/>
    <w:rsid w:val="00EB5147"/>
    <w:rsid w:val="00EC1218"/>
    <w:rsid w:val="00EF3375"/>
    <w:rsid w:val="00F50A56"/>
    <w:rsid w:val="00F647FC"/>
    <w:rsid w:val="00F658E3"/>
    <w:rsid w:val="00F65A20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E5B8-5A01-4BAA-87B7-A7E935F7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Обабкова-Тарануха Олеся Андреевна</cp:lastModifiedBy>
  <cp:revision>37</cp:revision>
  <cp:lastPrinted>2022-03-02T04:24:00Z</cp:lastPrinted>
  <dcterms:created xsi:type="dcterms:W3CDTF">2019-11-01T04:38:00Z</dcterms:created>
  <dcterms:modified xsi:type="dcterms:W3CDTF">2022-03-02T06:28:00Z</dcterms:modified>
</cp:coreProperties>
</file>