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Работодателям Челябинской области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61"/>
        <w:shd w:val="clear" w:color="auto" w:fill="ffffff"/>
        <w:tabs>
          <w:tab w:val="left" w:pos="878" w:leader="none"/>
        </w:tabs>
        <w:ind w:firstLine="709"/>
        <w:jc w:val="both"/>
        <w:rPr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Главное управление по труду и занятости населения Че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лябинской области объявляет о проведении в 2026 году региона</w:t>
      </w:r>
      <w:r>
        <w:rPr>
          <w:sz w:val="28"/>
          <w:szCs w:val="28"/>
          <w:lang w:eastAsia="ru-RU"/>
        </w:rPr>
        <w:t xml:space="preserve">льного этапа всероссийского конкурса профессионального мастерства «Лучший по профессии» </w:t>
      </w:r>
      <w:r>
        <w:rPr>
          <w:sz w:val="28"/>
          <w:szCs w:val="28"/>
        </w:rPr>
        <w:t xml:space="preserve">в специальной номинации «Второй старт» </w:t>
      </w:r>
      <w:r>
        <w:rPr>
          <w:bCs/>
          <w:sz w:val="28"/>
          <w:szCs w:val="28"/>
        </w:rPr>
        <w:t xml:space="preserve">для ветеранов специальной военной операции (по широкому кругу специальностей без ограничения и без требований к подтверждению </w:t>
      </w:r>
      <w:r>
        <w:rPr>
          <w:sz w:val="28"/>
          <w:szCs w:val="28"/>
        </w:rPr>
        <w:t xml:space="preserve">переобучения).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Всероссийский конкурс профессионального мастерства «Лучший по профессии» в специальной номинации «Второй старт» (далее – Конкурс) </w:t>
      </w:r>
      <w:r>
        <w:rPr>
          <w:bCs/>
          <w:sz w:val="28"/>
          <w:szCs w:val="28"/>
        </w:rPr>
        <w:t xml:space="preserve">для ветеранов специальной военной операции (по широкому кругу специальностей без ограничения и без требований к подтверждению </w:t>
      </w:r>
      <w:r>
        <w:rPr>
          <w:sz w:val="28"/>
          <w:szCs w:val="28"/>
        </w:rPr>
        <w:t xml:space="preserve">переобучения) организуется в целях совершенствования подходов и методов адаптации ветеранов </w:t>
      </w:r>
      <w:r>
        <w:rPr>
          <w:bCs/>
          <w:sz w:val="28"/>
          <w:szCs w:val="28"/>
        </w:rPr>
        <w:t xml:space="preserve">специальной военной операции</w:t>
      </w:r>
      <w:r>
        <w:rPr>
          <w:sz w:val="28"/>
          <w:szCs w:val="28"/>
        </w:rPr>
        <w:t xml:space="preserve"> к мирным условиям, популяризации практик возвращения участников боевых действий к мирной жизни, а также содействия росту квалификации кадров.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61"/>
        <w:shd w:val="clear" w:color="auto" w:fill="ffffff"/>
        <w:tabs>
          <w:tab w:val="left" w:pos="8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Конкурсантами могут быть граждане Российской Федерации: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возрасте старше 21 года,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 имеющие статус ветерана боевых действий, принимавшего участие в специальной военной операции, и (или) являющиеся участниками специальной военной операции,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 состоящие в трудовых отношениях (имеющие заключенный трудовой договор) и (или) имеющие статус индивидуального предпринимателя или применяющие специальный налоговый режим «Налог на профессиональный доход».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 Конкурсант должен быть трудоустроен в течение всего периода проведения регионального и федерального</w:t>
      </w:r>
      <w:r>
        <w:rPr>
          <w:color w:val="000000" w:themeColor="text1"/>
          <w:sz w:val="28"/>
          <w:szCs w:val="28"/>
        </w:rPr>
        <w:t xml:space="preserve"> этапов Конкурса и (или) иметь статус индивидуального предпринимателя или применять специальный налоговый режим «Налог на профессиональный доход». При этом допускается смена профессии и (или) работодателя, при условии перерыва не более 10 календарных дней.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61"/>
        <w:shd w:val="clear" w:color="auto" w:fill="ffffff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2.3. Конкурсантом не может стать гражданин, являющийся государственным гражданским служащим и (или) муниципальным служащим.  </w:t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pStyle w:val="861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2.4. </w:t>
      </w:r>
      <w:r>
        <w:rPr>
          <w:sz w:val="28"/>
          <w:szCs w:val="28"/>
        </w:rPr>
        <w:t xml:space="preserve">Заявка на участие в Конкурсе формируется однократно в электронном виде через Единую цифровую платформу в сфере занятости и трудовых отношений «Работа в России» (далее – Платформа) не позднее 5-ти дней до даты начала проведения регионального этапа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Участие в региональном и федеральном этапах является бесплатным.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Конкурсные задания регионального этапа состоят из трех модулей.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1. Презентация профессионального пути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Задание Модулей 1 и 3 производится участниками Конкурса на встрече с ветеранами специальной военной операции и членами их семей.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r>
    </w:p>
    <w:p>
      <w:pPr>
        <w:spacing w:after="0" w:line="240" w:lineRule="auto"/>
        <w:ind w:firstLine="709"/>
        <w:jc w:val="both"/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Модуль 1. История возвращения к профессиональной деятельности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tbl>
      <w:tblPr>
        <w:tblW w:w="97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2438"/>
        <w:gridCol w:w="1701"/>
      </w:tblGrid>
      <w:tr>
        <w:trPr>
          <w:tblHeader/>
        </w:trPr>
        <w:tblPrEx/>
        <w:tc>
          <w:tcPr>
            <w:tcW w:w="2943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Наименование модуля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2694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Краткое описание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2438" w:type="dxa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Механика выполнения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1701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Макси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-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мальное количество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баллов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</w:tr>
      <w:tr>
        <w:trPr>
          <w:trHeight w:val="714"/>
        </w:trPr>
        <w:tblPrEx/>
        <w:tc>
          <w:tcPr>
            <w:tcW w:w="2943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История возвращения к профессиональной деятельности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694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История возвращения к профессиональной деятельности представляет собой рассказ на тему «Как я нашел работу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и адаптировался на рабочем месте. Мой опыт».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</w:tc>
        <w:tc>
          <w:tcPr>
            <w:tcW w:w="2438" w:type="dxa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Выступление о личном опыте поиска работы и возвращения к профессиональной деятельности проводится в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очном формате перед ветеранами СВО и членами их семей.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</w:tc>
        <w:tc>
          <w:tcPr>
            <w:tcW w:w="1701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до 130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</w:tc>
      </w:tr>
    </w:tbl>
    <w:p>
      <w:pPr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Встреча проводится организат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ором регионального этапа Конкурса совместно с региональным филиалом фонда «Защитники Отечества» с приглашением членов региональной экспертной комиссии, а также ветеранов СВО и членов их семей. Число участников встречи должно составлять не менее 15 человек.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В случае если организаци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я встречи производится участником Конкурса самостоятельно, в адрес организатора регионального этапа Конкурса направляется видеозапись встречи для её оценки экспертами. Срок направления видеозаписи устанавливается организатором регионального этапа Конкурса.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За размещение информации о выступлении (в том числе обезличенной) в социальных сетях (разрешенных в Российской Федерации), интернет-ресурсах работодателя, а также в СМИ участник может получить дополнительные баллы (в соответствии с критериями оценки).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120" w:line="240" w:lineRule="auto"/>
        <w:ind w:firstLine="709"/>
        <w:jc w:val="both"/>
        <w:rPr>
          <w:rFonts w:ascii="Times New Roman" w:hAnsi="Times New Roman" w:eastAsia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Модуль 2. Теоретическая часть.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Теоретическая часть Конкурса включает в себя выполнение тестовых заданий (20 вопросов) по охране труда</w:t>
      </w:r>
      <w:r>
        <w:t xml:space="preserve"> 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и трудовым правам работников.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Тестирование проводится очно со всеми конкурсантами.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Время для прохождения тестирования – не более 30 минут.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После завершения тестирования конкурсантами региональная экспертная комиссия оценивает и выставляет баллы в соответствии с прилагаемыми критериями в течение 1 рабочего дня, но не позднее даты завершения регионального этапа.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Указанные сроки могут быть скорректированы в случае наличия особых обстоятельств.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keepNext/>
        <w:shd w:val="clear" w:color="auto" w:fill="ffffff"/>
        <w:tabs>
          <w:tab w:val="left" w:pos="725" w:leader="none"/>
        </w:tabs>
        <w:spacing w:after="12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Модуль 3. Кейс-задание</w:t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keepNext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«Фотография моего лучшего рабочего дня»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Целью задания является наглядное и содержательное представление профессиональной деятельности участника Конкурса через демонстрацию типичного рабочего дня.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Участник представляет видеоролик (хронометражем до 5 минут) или электронную презентацию (объёмом 10–15 слайдов), в которой последовательно раскрывается содержание полного рабочего дня (смены).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Необходимо отразить: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Хронологическое описание рабочего дня (планирование задач, ключевые рабочие процессы, типовые и нестандартные рабочие ситуации, взаимодействие с коллегами, закрытие смены и т.д.).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Краткий анализ эффективности и результативности рабочего дня.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Выделение самых интересных и самых рутинных лично для участника задач.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Требования для видеоролика: формат MP4, высокое разрешение, качественная аудиодорожка. Требования для презентации: формат pptx или pdf, логичная структура, читаемый текст, наличие визуальных элементов.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Ссылка на видеоролик или презентацию загружается конкурсантом на информационный ресурс в течение не более 10-ти календарных дней с даты начала регионального этапа.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Региональная экспертная комиссия в данном модуле может дополнительно привлекать экспертов – представителей сферы деятельности конкурсанта – для оценки его профессиональных знаний и навыков, демонстрируемых в видеоролике.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После загрузки ссылки на информационный ресурс региональная экспертная комиссия оценивает и выставляет баллы в соответствии с прилагаемыми критериями.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За размещение видеоролика или презентации (в том числе обезличенной) в социальных сетях (разрешенных в Российской Федерации), интернет-ресурсах работодателя, а также в СМИ участник может получить дополнительные баллы (в соответствии с критериями оценки).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8"/>
          <w:lang w:eastAsia="zh-CN"/>
        </w:rPr>
      </w:pPr>
      <w:r>
        <w:rPr>
          <w:rFonts w:ascii="Times New Roman" w:hAnsi="Times New Roman" w:eastAsia="Times New Roman"/>
          <w:sz w:val="24"/>
          <w:szCs w:val="28"/>
          <w:lang w:eastAsia="zh-CN"/>
        </w:rPr>
      </w:r>
      <w:r>
        <w:rPr>
          <w:rFonts w:ascii="Times New Roman" w:hAnsi="Times New Roman" w:eastAsia="Times New Roman"/>
          <w:sz w:val="24"/>
          <w:szCs w:val="28"/>
          <w:lang w:eastAsia="zh-CN"/>
        </w:rPr>
      </w:r>
      <w:r>
        <w:rPr>
          <w:rFonts w:ascii="Times New Roman" w:hAnsi="Times New Roman" w:eastAsia="Times New Roman"/>
          <w:sz w:val="24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Критерии оценивания конкурсных заданий регионального этапа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0"/>
          <w:szCs w:val="28"/>
          <w:lang w:eastAsia="zh-CN"/>
        </w:rPr>
      </w:pPr>
      <w:r>
        <w:rPr>
          <w:rFonts w:ascii="Times New Roman" w:hAnsi="Times New Roman" w:eastAsia="Times New Roman"/>
          <w:sz w:val="20"/>
          <w:szCs w:val="28"/>
          <w:lang w:eastAsia="zh-CN"/>
        </w:rPr>
      </w:r>
      <w:r>
        <w:rPr>
          <w:rFonts w:ascii="Times New Roman" w:hAnsi="Times New Roman" w:eastAsia="Times New Roman"/>
          <w:sz w:val="20"/>
          <w:szCs w:val="28"/>
          <w:lang w:eastAsia="zh-CN"/>
        </w:rPr>
      </w:r>
      <w:r>
        <w:rPr>
          <w:rFonts w:ascii="Times New Roman" w:hAnsi="Times New Roman" w:eastAsia="Times New Roman"/>
          <w:sz w:val="20"/>
          <w:szCs w:val="28"/>
          <w:lang w:eastAsia="zh-CN"/>
        </w:rPr>
      </w:r>
    </w:p>
    <w:tbl>
      <w:tblPr>
        <w:tblW w:w="9839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24"/>
        <w:gridCol w:w="6760"/>
        <w:gridCol w:w="2155"/>
      </w:tblGrid>
      <w:tr>
        <w:trPr>
          <w:tblHeader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задания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Максимальное количество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баллов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717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МОДУЛЬ 1.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История возвращения к профессиональной деятельности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 130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54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Содержательно раскрыты темы выступления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30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54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выступлении были использованы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фото-видео материалы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25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54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1.3.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Практическая ценность и мотивационный эффект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40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54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1.4.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выступлении раскрыты особенности профессии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15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/>
          <w:trHeight w:val="354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1.5.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информации о выступлении (в том числе обезличенной) на общедоступных информационных ресурсах: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Личная страница участника в социальных сетях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(разрешенных в Российской Федерации)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5 баллов;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Официальные ресурсы работодателя (профсоюза) участника – до 7 баллов;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Ресурсы СМИ – до 8 баллов.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20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17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МОДУЛЬ 2.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Теоретическая часть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 40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413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Тестовое задание (2 балла за каждый правильный ответ)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40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46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МОДУЛЬ 3.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 Кейс-задание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«Фотография моего лучшего рабочего дня»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 150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546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Логичность, структурированность представляемого материала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15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46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Полнота и реалистичность отображения рабочего дня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30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46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Качество визуального материала, наличие фото или видео материалов с рабочего места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30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46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Материал укладывается в хронометраж менее 5 минут или презентация укладывается в объём не более 15 слайдов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46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Уровень профессиональных навыков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50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46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информации о выступлении (в том числе обезличенной) на общедоступных информационных ресурсах: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Личная страница участника в социальных сетях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(разрешенных в Российской Федерации)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5 баллов;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Официальные ресурсы работодателя (профсоюза) участника – до 7 баллов;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Ресурсы СМИ – до 8 баллов.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20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86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Видеоролик превышает установленный хронометраж на 5 минут или презентация превышает установленное количество слайдов на 10 шт.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42"/>
        </w:trPr>
        <w:tblPrEx/>
        <w:tc>
          <w:tcPr>
            <w:tcW w:w="924" w:type="dxa"/>
            <w:shd w:val="clear" w:color="ffffff" w:fill="ffffff"/>
            <w:noWrap w:val="false"/>
            <w:textDirection w:val="lrTb"/>
          </w:tcPr>
          <w:p>
            <w:pPr>
              <w:pStyle w:val="69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6760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155" w:type="dxa"/>
            <w:shd w:val="clear" w:color="ffffff" w:fill="ffffff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 320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Победитель регионального этапа будет номинирован для участия на федеральном уровне.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Федеральный этап Конкурса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Конкурсные задания федерального этапа состоят из трех модулей.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рамках федерального этапа состоится всероссийский форум «Профессиональный путь бойца». Участниками станут военнослужащие и члены их семей, представители исполнительных органов государственной власти субъектов РФ, представители </w:t>
      </w:r>
      <w:r>
        <w:rPr>
          <w:sz w:val="28"/>
          <w:szCs w:val="28"/>
          <w:lang w:eastAsia="ru-RU"/>
        </w:rPr>
        <w:t xml:space="preserve">государственного </w:t>
      </w:r>
      <w:r>
        <w:rPr>
          <w:sz w:val="28"/>
          <w:szCs w:val="28"/>
          <w:lang w:eastAsia="ru-RU"/>
        </w:rPr>
        <w:t xml:space="preserve">фонда «Защитники Отечества», сотрудники службы занятости региона, социальные координаторы, работодатели и представители общественных организаций.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Целью проведения форума является обмен опытом и выработка совместных решений по интеграции ветеранов СВО в трудовую деятельность.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Форум пройдёт в течение двух дней.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Модуль 1. 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Видео-визитка «Путь бойца»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Предполагает подготовку регионом, направляющим финалиста на федеральный этап, видеоролика, демонстрирующего </w:t>
      </w:r>
      <w:r>
        <w:rPr>
          <w:sz w:val="28"/>
          <w:szCs w:val="28"/>
          <w:lang w:eastAsia="ru-RU"/>
        </w:rPr>
        <w:t xml:space="preserve">путь построения карьеры после участия в </w:t>
      </w:r>
      <w:r>
        <w:rPr>
          <w:sz w:val="28"/>
          <w:szCs w:val="28"/>
          <w:lang w:eastAsia="ru-RU"/>
        </w:rPr>
        <w:t xml:space="preserve">СВО</w:t>
      </w:r>
      <w:r>
        <w:rPr>
          <w:sz w:val="28"/>
          <w:szCs w:val="28"/>
          <w:lang w:eastAsia="ru-RU"/>
        </w:rPr>
        <w:t xml:space="preserve"> участника Конкурса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Органы службы занятости населения субъекта Российской Федерации оказывают содействие при подготовке видеоролика конкурсанта – победителя регионального этапа.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trike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Видеоролик должен быть ясным, кратким, с использованием конкретных примеров и описанием</w:t>
      </w:r>
      <w:r>
        <w:rPr>
          <w:sz w:val="28"/>
          <w:szCs w:val="28"/>
          <w:lang w:eastAsia="ru-RU"/>
        </w:rPr>
        <w:t xml:space="preserve"> шагов, которые участник прошел </w:t>
      </w:r>
      <w:r>
        <w:rPr>
          <w:sz w:val="28"/>
          <w:szCs w:val="28"/>
          <w:lang w:eastAsia="ru-RU"/>
        </w:rPr>
        <w:t xml:space="preserve">при</w:t>
      </w:r>
      <w:r>
        <w:rPr>
          <w:sz w:val="28"/>
          <w:szCs w:val="28"/>
          <w:lang w:eastAsia="ru-RU"/>
        </w:rPr>
        <w:t xml:space="preserve"> адаптации к мирной</w:t>
      </w:r>
      <w:r>
        <w:rPr>
          <w:sz w:val="28"/>
          <w:szCs w:val="28"/>
          <w:lang w:eastAsia="ru-RU"/>
        </w:rPr>
        <w:t xml:space="preserve"> жизни и трудоустройстве</w:t>
      </w:r>
      <w:r>
        <w:rPr>
          <w:sz w:val="28"/>
          <w:szCs w:val="28"/>
          <w:lang w:eastAsia="ru-RU"/>
        </w:rPr>
        <w:t xml:space="preserve">.</w:t>
      </w:r>
      <w:r>
        <w:rPr>
          <w:strike/>
          <w:sz w:val="28"/>
          <w:szCs w:val="28"/>
          <w:lang w:eastAsia="ru-RU"/>
        </w:rPr>
      </w:r>
      <w:r>
        <w:rPr>
          <w:strike/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 xml:space="preserve">Структура видеоролика</w:t>
      </w:r>
      <w:r>
        <w:rPr>
          <w:sz w:val="28"/>
          <w:szCs w:val="28"/>
          <w:u w:val="single"/>
          <w:lang w:val="en-US" w:eastAsia="ru-RU"/>
        </w:rPr>
        <w:t xml:space="preserve">:</w:t>
      </w:r>
      <w:r>
        <w:rPr>
          <w:sz w:val="28"/>
          <w:szCs w:val="28"/>
          <w:u w:val="single"/>
          <w:lang w:eastAsia="ru-RU"/>
        </w:rPr>
      </w:r>
      <w:r>
        <w:rPr>
          <w:sz w:val="28"/>
          <w:szCs w:val="28"/>
          <w:u w:val="single"/>
          <w:lang w:eastAsia="ru-RU"/>
        </w:rPr>
      </w:r>
    </w:p>
    <w:p>
      <w:pPr>
        <w:pStyle w:val="861"/>
        <w:numPr>
          <w:numId w:val="2"/>
          <w:ilvl w:val="0"/>
        </w:numPr>
        <w:shd w:val="clear" w:color="auto" w:fill="ffffff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Краткая информация о себе.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numPr>
          <w:numId w:val="2"/>
          <w:ilvl w:val="0"/>
        </w:numPr>
        <w:shd w:val="clear" w:color="auto" w:fill="ffffff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Какие формальные специальности и навыки, полученные </w:t>
      </w:r>
      <w:r>
        <w:rPr>
          <w:sz w:val="28"/>
          <w:szCs w:val="28"/>
          <w:lang w:eastAsia="ru-RU"/>
        </w:rPr>
        <w:t xml:space="preserve">на военной службе</w:t>
      </w:r>
      <w:r>
        <w:rPr>
          <w:sz w:val="28"/>
          <w:szCs w:val="28"/>
          <w:lang w:eastAsia="ru-RU"/>
        </w:rPr>
        <w:t xml:space="preserve">, нашли гражданское применение?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numPr>
          <w:numId w:val="2"/>
          <w:ilvl w:val="0"/>
        </w:numPr>
        <w:shd w:val="clear" w:color="auto" w:fill="ffffff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Какие универсальные компетенции, «закалённые» в условиях службы, Вы считаете своими главным нематериальным активом?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numPr>
          <w:numId w:val="2"/>
          <w:ilvl w:val="0"/>
        </w:numPr>
        <w:shd w:val="clear" w:color="auto" w:fill="ffffff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Как прошло возвращение к трудовой деятельности? Главные профессиональные успехи.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</w:t>
      </w:r>
      <w:r>
        <w:rPr>
          <w:bCs/>
          <w:sz w:val="28"/>
          <w:szCs w:val="28"/>
        </w:rPr>
        <w:t xml:space="preserve">родолжительность видеоролика –</w:t>
      </w:r>
      <w:r>
        <w:rPr>
          <w:sz w:val="28"/>
          <w:szCs w:val="28"/>
          <w:lang w:eastAsia="ru-RU"/>
        </w:rPr>
        <w:t xml:space="preserve"> не</w:t>
      </w:r>
      <w:r>
        <w:rPr>
          <w:sz w:val="28"/>
          <w:szCs w:val="28"/>
          <w:lang w:eastAsia="ru-RU"/>
        </w:rPr>
        <w:t xml:space="preserve"> более 15 минут.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Ссылка на видеоролик </w:t>
      </w:r>
      <w:r>
        <w:rPr>
          <w:sz w:val="28"/>
          <w:szCs w:val="28"/>
          <w:lang w:eastAsia="ru-RU"/>
        </w:rPr>
        <w:t xml:space="preserve">(размещенный на разрешенных в Российской Федерации информационных платформах)</w:t>
      </w:r>
      <w:r>
        <w:rPr>
          <w:sz w:val="28"/>
          <w:szCs w:val="28"/>
          <w:lang w:eastAsia="ru-RU"/>
        </w:rPr>
        <w:t xml:space="preserve"> конкурсантом загружается на ин</w:t>
      </w:r>
      <w:r>
        <w:rPr>
          <w:sz w:val="28"/>
          <w:szCs w:val="28"/>
          <w:lang w:eastAsia="ru-RU"/>
        </w:rPr>
        <w:t xml:space="preserve">формационный ресурс в период с </w:t>
      </w:r>
      <w:r>
        <w:rPr>
          <w:sz w:val="28"/>
          <w:szCs w:val="28"/>
          <w:lang w:eastAsia="ru-RU"/>
        </w:rPr>
        <w:t xml:space="preserve">14.08.2026 по 26.08</w:t>
      </w:r>
      <w:r>
        <w:rPr>
          <w:sz w:val="28"/>
          <w:szCs w:val="28"/>
          <w:lang w:eastAsia="ru-RU"/>
        </w:rPr>
        <w:t xml:space="preserve">.2026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61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Федеральная экспертная комиссия в данном модуле может дополнительно привлекать экспертов – представителей сферы деятельности конкурсанта – для оценки его профессиональных знаний и навыков, </w:t>
      </w:r>
      <w:r>
        <w:rPr>
          <w:sz w:val="28"/>
          <w:szCs w:val="28"/>
          <w:lang w:eastAsia="ru-RU"/>
        </w:rPr>
        <w:t xml:space="preserve">демонстрируемых в видеоролике.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срок до </w:t>
      </w:r>
      <w:r>
        <w:rPr>
          <w:rFonts w:ascii="Times New Roman" w:hAnsi="Times New Roman"/>
          <w:sz w:val="28"/>
          <w:szCs w:val="28"/>
        </w:rPr>
        <w:t xml:space="preserve">31</w:t>
      </w:r>
      <w:r>
        <w:rPr>
          <w:rFonts w:ascii="Times New Roman" w:hAnsi="Times New Roman"/>
          <w:sz w:val="28"/>
          <w:szCs w:val="28"/>
        </w:rPr>
        <w:t xml:space="preserve">.0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.2026</w:t>
      </w:r>
      <w:r>
        <w:rPr>
          <w:rFonts w:ascii="Times New Roman" w:hAnsi="Times New Roman"/>
          <w:sz w:val="28"/>
          <w:szCs w:val="28"/>
        </w:rPr>
        <w:t xml:space="preserve"> федеральная </w:t>
      </w:r>
      <w:r>
        <w:rPr>
          <w:rFonts w:ascii="Times New Roman" w:hAnsi="Times New Roman"/>
          <w:sz w:val="28"/>
          <w:szCs w:val="28"/>
        </w:rPr>
        <w:t xml:space="preserve">экспертн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 xml:space="preserve">я проводит оценку соответствия сюжета видеоролика конкурсанта заявленной теме задания и формирует з</w:t>
      </w:r>
      <w:r>
        <w:rPr>
          <w:rFonts w:ascii="Times New Roman" w:hAnsi="Times New Roman"/>
          <w:sz w:val="28"/>
          <w:szCs w:val="28"/>
        </w:rPr>
        <w:t xml:space="preserve">аключение о соблюдении базовых профессиональных требований, требований охраны труда и иных обязательных требований в зависимости от профессии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В период с 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02.09.2026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(начало голосования в 00:01 по 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мск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) по 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14.09.2026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(завершение голосования в 20:00 по 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мск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) на общедоступном информационном ресурсе будет обеспечено «народное голосование» за видеоролики конкурсантов федерального этапа и по итогам голосования начислены баллы в зависимости от процента проголосовавших за каждый ролик: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5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баллов – от 1,0% до 5,0% от всех голосов,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8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баллов – от 5,1% до 7,0% голосов, 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20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баллов – участнику, находящемуся на третьем месте по количеству голосов;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35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баллов – участнику, находящемуся на втором месте по количеству голосов;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50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баллов – участнику, набравшему наибольшее количество голосов.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В случае если доля голосов за участника, находящегося на первом, втором и/или третьем месте по количеству голосов, составляет менее 7,0%, участнику начисляется 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50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3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5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или 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20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баллов соответственно.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Указанные сроки могут быть скорректированы в случа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е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наличия особых обстоятельств.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  <w:tab w:val="left" w:pos="2554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Модуль 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2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. 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Теоретическая часть.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Теоретическая часть Конкурса включает в себя выполнение тестовых заданий 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(20 тестовых 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вопросов) по охране труда и трудовым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правам работников. 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Кейс-задание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 «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Идеальная адаптация участника СВО на рабочем месте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W w:w="107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800"/>
        <w:gridCol w:w="2006"/>
        <w:gridCol w:w="3811"/>
        <w:gridCol w:w="2123"/>
      </w:tblGrid>
      <w:tr>
        <w:trPr/>
        <w:tblPrEx/>
        <w:tc>
          <w:tcPr>
            <w:tcW w:w="2903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Наименование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2025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Время прохождения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3969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Краткое описание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1843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Максимальное количество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  <w:p>
            <w:pPr>
              <w:widowControl w:val="off"/>
              <w:tabs>
                <w:tab w:val="left" w:pos="283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баллов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blPrEx/>
        <w:tc>
          <w:tcPr>
            <w:tcW w:w="2903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Идеальная адаптация участника СВО на рабочем месте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</w:tc>
        <w:tc>
          <w:tcPr>
            <w:tcW w:w="2025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устное выступление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более 7 минут,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на вопросы экспертов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более 5 минут.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</w:tc>
        <w:tc>
          <w:tcPr>
            <w:tcW w:w="3969" w:type="dxa"/>
            <w:shd w:val="clear" w:color="ffffff" w:fill="ffffff"/>
            <w:noWrap w:val="false"/>
            <w:textDirection w:val="lrTb"/>
          </w:tcPr>
          <w:p>
            <w:pPr>
              <w:pStyle w:val="861"/>
              <w:shd w:val="clear" w:color="auto" w:fill="ffffff"/>
              <w:ind w:firstLine="2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Участнику необходимо провести анализ личного опыта профессиональной адаптации после завершения участия в </w:t>
            </w:r>
            <w:r>
              <w:rPr>
                <w:sz w:val="28"/>
                <w:szCs w:val="28"/>
                <w:lang w:eastAsia="ru-RU"/>
              </w:rPr>
              <w:t xml:space="preserve">СВО</w:t>
            </w:r>
            <w:r>
              <w:rPr>
                <w:sz w:val="28"/>
                <w:szCs w:val="28"/>
                <w:lang w:eastAsia="ru-RU"/>
              </w:rPr>
              <w:t xml:space="preserve"> и сформулировать предложения по её совершенствованию.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до 50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</w:tc>
      </w:tr>
    </w:tbl>
    <w:p>
      <w:pPr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В рамках устного выступления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перед федеральной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 экспертной комиссией участнику необходимо представить </w:t>
      </w: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подготовленный заранее рассказ, включающий в себя: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1. Анализ личного опыта адаптации на рабочем месте (ключевые этапы адаптации, роль службы занятости, предприятия, коллег и т.д.).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2. Выявление основных трудностей и способов их преодоления.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/>
          <w:sz w:val="28"/>
          <w:szCs w:val="28"/>
          <w:lang w:eastAsia="zh-CN"/>
        </w:rPr>
        <w:t xml:space="preserve">3. Как сделать адаптацию идеальной? Предложения по совершенствованию системы адаптации (что следует добавить в существующую систему или исключить из неё, какие механизмы необходимо доработать).</w:t>
      </w:r>
      <w:r>
        <w:rPr>
          <w:rFonts w:ascii="Times New Roman" w:hAnsi="Times New Roman" w:eastAsia="Times New Roman"/>
          <w:sz w:val="28"/>
          <w:szCs w:val="28"/>
          <w:lang w:eastAsia="zh-CN"/>
        </w:rPr>
      </w:r>
      <w:r>
        <w:rPr>
          <w:rFonts w:ascii="Times New Roman" w:hAnsi="Times New Roman" w:eastAsia="Times New Roman"/>
          <w:sz w:val="28"/>
          <w:szCs w:val="28"/>
          <w:lang w:eastAsia="zh-CN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Модуль 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3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.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/>
          <w:b/>
          <w:sz w:val="28"/>
          <w:szCs w:val="28"/>
          <w:lang w:eastAsia="zh-CN"/>
        </w:rPr>
        <w:t xml:space="preserve">«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Как я вышел на работу, и как мой пример поможет другим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(практическое задание)</w:t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</w:r>
      <w:r>
        <w:rPr>
          <w:rFonts w:ascii="Times New Roman" w:hAnsi="Times New Roman"/>
          <w:sz w:val="24"/>
          <w:szCs w:val="28"/>
          <w:lang w:eastAsia="ru-RU"/>
        </w:rPr>
      </w:r>
      <w:r>
        <w:rPr>
          <w:rFonts w:ascii="Times New Roman" w:hAnsi="Times New Roman"/>
          <w:sz w:val="24"/>
          <w:szCs w:val="28"/>
          <w:lang w:eastAsia="ru-RU"/>
        </w:rPr>
      </w:r>
    </w:p>
    <w:tbl>
      <w:tblPr>
        <w:tblW w:w="107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594"/>
        <w:gridCol w:w="2223"/>
        <w:gridCol w:w="3800"/>
        <w:gridCol w:w="2123"/>
      </w:tblGrid>
      <w:tr>
        <w:trPr/>
        <w:tblPrEx/>
        <w:tc>
          <w:tcPr>
            <w:tcW w:w="2660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Наименование модуля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2268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Время прохождения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3969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Краткое описание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1843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142" w:leader="none"/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Максимальное количество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  <w:t xml:space="preserve">баллов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blPrEx/>
        <w:tc>
          <w:tcPr>
            <w:tcW w:w="2660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Как я вышел на работу, и как мой пример поможет другим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</w:tc>
        <w:tc>
          <w:tcPr>
            <w:tcW w:w="2268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выступление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более 10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минут,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вопрос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экспертов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или участников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более 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минут.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</w:tc>
        <w:tc>
          <w:tcPr>
            <w:tcW w:w="3969" w:type="dxa"/>
            <w:shd w:val="clear" w:color="ffffff" w:fill="ffffff"/>
            <w:noWrap w:val="false"/>
            <w:textDirection w:val="lrTb"/>
          </w:tcPr>
          <w:p>
            <w:pPr>
              <w:pStyle w:val="861"/>
              <w:shd w:val="clear" w:color="auto" w:fill="ffffff"/>
              <w:ind w:firstLine="2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Формируются группы из </w:t>
            </w:r>
            <w:r>
              <w:rPr>
                <w:sz w:val="28"/>
                <w:szCs w:val="28"/>
                <w:lang w:eastAsia="ru-RU"/>
              </w:rPr>
              <w:t xml:space="preserve">участников Конкурса по </w:t>
            </w:r>
            <w:r>
              <w:rPr>
                <w:sz w:val="28"/>
                <w:szCs w:val="28"/>
                <w:lang w:eastAsia="ru-RU"/>
              </w:rPr>
              <w:br/>
            </w:r>
            <w:r>
              <w:rPr>
                <w:sz w:val="28"/>
                <w:szCs w:val="28"/>
                <w:lang w:eastAsia="ru-RU"/>
              </w:rPr>
              <w:t xml:space="preserve">5</w:t>
            </w:r>
            <w:r>
              <w:rPr>
                <w:sz w:val="28"/>
                <w:szCs w:val="28"/>
                <w:lang w:eastAsia="ru-RU"/>
              </w:rPr>
              <w:t xml:space="preserve">-10</w:t>
            </w:r>
            <w:r>
              <w:rPr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  <w:lang w:eastAsia="ru-RU"/>
              </w:rPr>
              <w:t xml:space="preserve">человек </w:t>
            </w:r>
            <w:r>
              <w:rPr>
                <w:sz w:val="28"/>
                <w:szCs w:val="28"/>
                <w:lang w:eastAsia="ru-RU"/>
              </w:rPr>
              <w:t xml:space="preserve">(группы определяются непосредственно перед федеральн</w:t>
            </w:r>
            <w:r>
              <w:rPr>
                <w:sz w:val="28"/>
                <w:szCs w:val="28"/>
                <w:lang w:eastAsia="ru-RU"/>
              </w:rPr>
              <w:t xml:space="preserve">ы</w:t>
            </w:r>
            <w:r>
              <w:rPr>
                <w:sz w:val="28"/>
                <w:szCs w:val="28"/>
                <w:lang w:eastAsia="ru-RU"/>
              </w:rPr>
              <w:t xml:space="preserve">м этап</w:t>
            </w:r>
            <w:r>
              <w:rPr>
                <w:sz w:val="28"/>
                <w:szCs w:val="28"/>
                <w:lang w:eastAsia="ru-RU"/>
              </w:rPr>
              <w:t xml:space="preserve">ом</w:t>
            </w:r>
            <w:r>
              <w:rPr>
                <w:sz w:val="28"/>
                <w:szCs w:val="28"/>
                <w:lang w:eastAsia="ru-RU"/>
              </w:rPr>
              <w:t xml:space="preserve"> на основании списка победителей региональных этапов)</w:t>
            </w:r>
            <w:r>
              <w:rPr>
                <w:sz w:val="28"/>
                <w:szCs w:val="28"/>
                <w:lang w:eastAsia="ru-RU"/>
              </w:rPr>
              <w:t xml:space="preserve">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861"/>
              <w:shd w:val="clear" w:color="auto" w:fill="ffffff"/>
              <w:ind w:firstLine="2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Участники г</w:t>
            </w:r>
            <w:r>
              <w:rPr>
                <w:sz w:val="28"/>
                <w:szCs w:val="28"/>
                <w:lang w:eastAsia="ru-RU"/>
              </w:rPr>
              <w:t xml:space="preserve">руппы выступают </w:t>
            </w:r>
            <w:r>
              <w:rPr>
                <w:sz w:val="28"/>
                <w:szCs w:val="28"/>
                <w:lang w:eastAsia="ru-RU"/>
              </w:rPr>
              <w:t xml:space="preserve">по очереди </w:t>
            </w:r>
            <w:r>
              <w:rPr>
                <w:sz w:val="28"/>
                <w:szCs w:val="28"/>
                <w:lang w:eastAsia="ru-RU"/>
              </w:rPr>
              <w:t xml:space="preserve">перед </w:t>
            </w:r>
            <w:r>
              <w:rPr>
                <w:sz w:val="28"/>
                <w:szCs w:val="28"/>
                <w:lang w:eastAsia="ru-RU"/>
              </w:rPr>
              <w:t xml:space="preserve">ветеранами СВО и членами их семей</w:t>
            </w:r>
            <w:r>
              <w:rPr>
                <w:sz w:val="28"/>
                <w:szCs w:val="28"/>
                <w:lang w:eastAsia="ru-RU"/>
              </w:rPr>
              <w:t xml:space="preserve"> (будет предусмотрена</w:t>
            </w:r>
            <w:r>
              <w:rPr>
                <w:sz w:val="28"/>
                <w:szCs w:val="28"/>
                <w:lang w:eastAsia="ru-RU"/>
              </w:rPr>
              <w:t xml:space="preserve"> онлайн трансляция и возможность выставления баллов дистанционно)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и </w:t>
            </w:r>
            <w:r>
              <w:rPr>
                <w:sz w:val="28"/>
                <w:szCs w:val="28"/>
                <w:lang w:eastAsia="ru-RU"/>
              </w:rPr>
              <w:t xml:space="preserve">представителями федеральной экспертной</w:t>
            </w:r>
            <w:r>
              <w:rPr>
                <w:sz w:val="28"/>
                <w:szCs w:val="28"/>
                <w:lang w:eastAsia="ru-RU"/>
              </w:rPr>
              <w:t xml:space="preserve"> комиссии.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861"/>
              <w:shd w:val="clear" w:color="auto" w:fill="ffffff"/>
              <w:ind w:firstLine="2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861"/>
              <w:shd w:val="clear" w:color="auto" w:fill="ffffff"/>
              <w:ind w:firstLine="2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 выступлении необходимо описать и раскрыть 5 причин, по которым участник снова вышел на работу.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Причины дол</w:t>
            </w:r>
            <w:r>
              <w:rPr>
                <w:sz w:val="28"/>
                <w:szCs w:val="28"/>
                <w:lang w:eastAsia="ru-RU"/>
              </w:rPr>
              <w:t xml:space="preserve">жны быть личными, осмысленными, а также мотивирующими к трудоустройству</w:t>
            </w:r>
            <w:r>
              <w:rPr>
                <w:sz w:val="28"/>
                <w:szCs w:val="28"/>
                <w:lang w:eastAsia="ru-RU"/>
              </w:rPr>
              <w:t xml:space="preserve">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1843" w:type="dxa"/>
            <w:shd w:val="clear" w:color="ffffff" w:fill="ffffff"/>
            <w:noWrap w:val="false"/>
            <w:textDirection w:val="lrTb"/>
          </w:tcPr>
          <w:p>
            <w:pPr>
              <w:widowControl w:val="off"/>
              <w:tabs>
                <w:tab w:val="left" w:pos="725" w:leader="none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до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2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00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r>
          </w:p>
        </w:tc>
      </w:tr>
    </w:tbl>
    <w:p>
      <w:pPr>
        <w:widowControl w:val="off"/>
        <w:shd w:val="clear" w:color="auto" w:fill="ffffff"/>
        <w:tabs>
          <w:tab w:val="left" w:pos="725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0"/>
          <w:szCs w:val="28"/>
          <w:lang w:eastAsia="zh-CN"/>
        </w:rPr>
      </w:pPr>
      <w:r>
        <w:rPr>
          <w:rFonts w:ascii="Times New Roman" w:hAnsi="Times New Roman" w:eastAsia="Times New Roman"/>
          <w:b/>
          <w:sz w:val="20"/>
          <w:szCs w:val="28"/>
          <w:lang w:eastAsia="zh-CN"/>
        </w:rPr>
      </w:r>
      <w:r>
        <w:rPr>
          <w:rFonts w:ascii="Times New Roman" w:hAnsi="Times New Roman" w:eastAsia="Times New Roman"/>
          <w:b/>
          <w:sz w:val="20"/>
          <w:szCs w:val="28"/>
          <w:lang w:eastAsia="zh-CN"/>
        </w:rPr>
      </w:r>
      <w:r>
        <w:rPr>
          <w:rFonts w:ascii="Times New Roman" w:hAnsi="Times New Roman" w:eastAsia="Times New Roman"/>
          <w:b/>
          <w:sz w:val="20"/>
          <w:szCs w:val="28"/>
          <w:lang w:eastAsia="zh-CN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Прием заявок на участие в региональном этапе Конкурса осуществляется до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20 июля 2026 года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вопросам проведения Конкурса обращаться в Главное управление по труду и занятости населения Челябинской области 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г. Челябинск, ул. Комсомольская, 18 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), отдел регулирования трудовых отношений и развития социального партнерства,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кабинет 102, контактные лица Афиногенова Ирина Аркадьевна, Замятина Ольга Маратовна телефон: (351)237-08-92,е-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mail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:</w:t>
      </w:r>
      <w:hyperlink r:id="rId9" w:tooltip="http://Afinogenova_IA@szn74.ru" w:history="1">
        <w:r>
          <w:rPr>
            <w:rStyle w:val="857"/>
            <w:rFonts w:ascii="Times New Roman" w:hAnsi="Times New Roman" w:eastAsia="Times New Roman" w:cs="Times New Roman"/>
            <w:b/>
            <w:sz w:val="28"/>
            <w:szCs w:val="28"/>
            <w:lang w:eastAsia="ru-RU"/>
          </w:rPr>
          <w:t xml:space="preserve">Afinogenova_IA@szn74.ru</w:t>
        </w:r>
      </w:hyperlink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, </w:t>
      </w:r>
      <w:hyperlink r:id="rId10" w:tooltip="mailto:Zamyatina_OM@szn74.ru." w:history="1">
        <w:r>
          <w:rPr>
            <w:rStyle w:val="857"/>
            <w:rFonts w:ascii="Times New Roman" w:hAnsi="Times New Roman" w:eastAsia="Times New Roman" w:cs="Times New Roman"/>
            <w:b/>
            <w:sz w:val="28"/>
            <w:szCs w:val="28"/>
            <w:lang w:eastAsia="ru-RU"/>
          </w:rPr>
          <w:t xml:space="preserve">Zamyatina_OM@szn74.ru.</w:t>
        </w:r>
      </w:hyperlink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Инструкция участника по подаче заявки на Всероссийский конкурс профессионального мастерства «Лучший по профессии» (ссылка);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Методические рекомендации по организации и проведению конкурса профессионального мастерства «Лучший по профессии» (ссылка) , размещены на официальном сайте  Главного управления по труду и занятости населения Челябинской области: szn.gov74.ru.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Полная информация о проведении Конкурса размещена на официальном сайте Главного управления (www.szn.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gov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74.ru) в разделе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Дополнительно / Социальное партнёрство / Конкурсы / Региональный этап всероссийского конкурса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специальной номинации «Второй старт» для ветеранов специальной военной операции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/ 2026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sectPr>
      <w:footnotePr/>
      <w:endnotePr/>
      <w:type w:val="nextPage"/>
      <w:pgSz w:w="11906" w:h="16838" w:orient="portrait"/>
      <w:pgMar w:top="568" w:right="851" w:bottom="568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 w:default="1">
    <w:name w:val="Normal"/>
    <w:qFormat/>
  </w:style>
  <w:style w:type="paragraph" w:styleId="659">
    <w:name w:val="Heading 1"/>
    <w:basedOn w:val="658"/>
    <w:next w:val="658"/>
    <w:link w:val="689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0">
    <w:name w:val="Heading 2"/>
    <w:basedOn w:val="658"/>
    <w:next w:val="658"/>
    <w:link w:val="69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1">
    <w:name w:val="Heading 3"/>
    <w:basedOn w:val="658"/>
    <w:next w:val="658"/>
    <w:link w:val="691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2">
    <w:name w:val="Heading 4"/>
    <w:basedOn w:val="658"/>
    <w:next w:val="658"/>
    <w:link w:val="692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8"/>
    <w:next w:val="658"/>
    <w:link w:val="693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658"/>
    <w:next w:val="658"/>
    <w:link w:val="69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5">
    <w:name w:val="Heading 7"/>
    <w:basedOn w:val="658"/>
    <w:next w:val="658"/>
    <w:link w:val="695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6">
    <w:name w:val="Heading 8"/>
    <w:basedOn w:val="658"/>
    <w:next w:val="658"/>
    <w:link w:val="696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7">
    <w:name w:val="Heading 9"/>
    <w:basedOn w:val="658"/>
    <w:next w:val="658"/>
    <w:link w:val="697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character" w:styleId="671" w:customStyle="1">
    <w:name w:val="Heading 1 Char"/>
    <w:basedOn w:val="668"/>
    <w:uiPriority w:val="9"/>
    <w:rPr>
      <w:rFonts w:ascii="Arial" w:hAnsi="Arial" w:eastAsia="Arial" w:cs="Arial"/>
      <w:sz w:val="40"/>
      <w:szCs w:val="40"/>
    </w:rPr>
  </w:style>
  <w:style w:type="character" w:styleId="672" w:customStyle="1">
    <w:name w:val="Heading 2 Char"/>
    <w:basedOn w:val="668"/>
    <w:uiPriority w:val="9"/>
    <w:rPr>
      <w:rFonts w:ascii="Arial" w:hAnsi="Arial" w:eastAsia="Arial" w:cs="Arial"/>
      <w:sz w:val="34"/>
    </w:rPr>
  </w:style>
  <w:style w:type="character" w:styleId="673" w:customStyle="1">
    <w:name w:val="Heading 3 Char"/>
    <w:basedOn w:val="668"/>
    <w:uiPriority w:val="9"/>
    <w:rPr>
      <w:rFonts w:ascii="Arial" w:hAnsi="Arial" w:eastAsia="Arial" w:cs="Arial"/>
      <w:sz w:val="30"/>
      <w:szCs w:val="30"/>
    </w:rPr>
  </w:style>
  <w:style w:type="character" w:styleId="674" w:customStyle="1">
    <w:name w:val="Heading 4 Char"/>
    <w:basedOn w:val="668"/>
    <w:uiPriority w:val="9"/>
    <w:rPr>
      <w:rFonts w:ascii="Arial" w:hAnsi="Arial" w:eastAsia="Arial" w:cs="Arial"/>
      <w:b/>
      <w:bCs/>
      <w:sz w:val="26"/>
      <w:szCs w:val="26"/>
    </w:rPr>
  </w:style>
  <w:style w:type="character" w:styleId="675" w:customStyle="1">
    <w:name w:val="Heading 5 Char"/>
    <w:basedOn w:val="668"/>
    <w:uiPriority w:val="9"/>
    <w:rPr>
      <w:rFonts w:ascii="Arial" w:hAnsi="Arial" w:eastAsia="Arial" w:cs="Arial"/>
      <w:b/>
      <w:bCs/>
      <w:sz w:val="24"/>
      <w:szCs w:val="24"/>
    </w:rPr>
  </w:style>
  <w:style w:type="character" w:styleId="676" w:customStyle="1">
    <w:name w:val="Heading 6 Char"/>
    <w:basedOn w:val="668"/>
    <w:uiPriority w:val="9"/>
    <w:rPr>
      <w:rFonts w:ascii="Arial" w:hAnsi="Arial" w:eastAsia="Arial" w:cs="Arial"/>
      <w:b/>
      <w:bCs/>
      <w:sz w:val="22"/>
      <w:szCs w:val="22"/>
    </w:rPr>
  </w:style>
  <w:style w:type="character" w:styleId="677" w:customStyle="1">
    <w:name w:val="Heading 7 Char"/>
    <w:basedOn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8" w:customStyle="1">
    <w:name w:val="Heading 8 Char"/>
    <w:basedOn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79" w:customStyle="1">
    <w:name w:val="Heading 9 Char"/>
    <w:basedOn w:val="668"/>
    <w:uiPriority w:val="9"/>
    <w:rPr>
      <w:rFonts w:ascii="Arial" w:hAnsi="Arial" w:eastAsia="Arial" w:cs="Arial"/>
      <w:i/>
      <w:iCs/>
      <w:sz w:val="21"/>
      <w:szCs w:val="21"/>
    </w:rPr>
  </w:style>
  <w:style w:type="character" w:styleId="680" w:customStyle="1">
    <w:name w:val="Title Char"/>
    <w:basedOn w:val="668"/>
    <w:uiPriority w:val="10"/>
    <w:rPr>
      <w:sz w:val="48"/>
      <w:szCs w:val="48"/>
    </w:rPr>
  </w:style>
  <w:style w:type="character" w:styleId="681" w:customStyle="1">
    <w:name w:val="Subtitle Char"/>
    <w:basedOn w:val="668"/>
    <w:uiPriority w:val="11"/>
    <w:rPr>
      <w:sz w:val="24"/>
      <w:szCs w:val="24"/>
    </w:rPr>
  </w:style>
  <w:style w:type="character" w:styleId="682" w:customStyle="1">
    <w:name w:val="Quote Char"/>
    <w:uiPriority w:val="29"/>
    <w:rPr>
      <w:i/>
    </w:rPr>
  </w:style>
  <w:style w:type="character" w:styleId="683" w:customStyle="1">
    <w:name w:val="Intense Quote Char"/>
    <w:uiPriority w:val="30"/>
    <w:rPr>
      <w:i/>
    </w:rPr>
  </w:style>
  <w:style w:type="character" w:styleId="684" w:customStyle="1">
    <w:name w:val="Header Char"/>
    <w:basedOn w:val="668"/>
    <w:uiPriority w:val="99"/>
  </w:style>
  <w:style w:type="character" w:styleId="685" w:customStyle="1">
    <w:name w:val="Footer Char"/>
    <w:basedOn w:val="668"/>
    <w:uiPriority w:val="99"/>
  </w:style>
  <w:style w:type="character" w:styleId="686" w:customStyle="1">
    <w:name w:val="Caption Char"/>
    <w:basedOn w:val="668"/>
    <w:uiPriority w:val="35"/>
    <w:rPr>
      <w:b/>
      <w:bCs/>
      <w:color w:val="5b9bd5" w:themeColor="accent1"/>
      <w:sz w:val="18"/>
      <w:szCs w:val="18"/>
    </w:rPr>
  </w:style>
  <w:style w:type="character" w:styleId="687" w:customStyle="1">
    <w:name w:val="Footnote Text Char"/>
    <w:uiPriority w:val="99"/>
    <w:rPr>
      <w:sz w:val="18"/>
    </w:rPr>
  </w:style>
  <w:style w:type="character" w:styleId="688" w:customStyle="1">
    <w:name w:val="Endnote Text Char"/>
    <w:uiPriority w:val="99"/>
    <w:rPr>
      <w:sz w:val="20"/>
    </w:rPr>
  </w:style>
  <w:style w:type="character" w:styleId="689" w:customStyle="1">
    <w:name w:val="Заголовок 1 Знак"/>
    <w:basedOn w:val="668"/>
    <w:link w:val="659"/>
    <w:uiPriority w:val="9"/>
    <w:rPr>
      <w:rFonts w:ascii="Arial" w:hAnsi="Arial" w:eastAsia="Arial" w:cs="Arial"/>
      <w:sz w:val="40"/>
      <w:szCs w:val="40"/>
    </w:rPr>
  </w:style>
  <w:style w:type="character" w:styleId="690" w:customStyle="1">
    <w:name w:val="Заголовок 2 Знак"/>
    <w:basedOn w:val="668"/>
    <w:link w:val="660"/>
    <w:uiPriority w:val="9"/>
    <w:rPr>
      <w:rFonts w:ascii="Arial" w:hAnsi="Arial" w:eastAsia="Arial" w:cs="Arial"/>
      <w:sz w:val="34"/>
    </w:rPr>
  </w:style>
  <w:style w:type="character" w:styleId="691" w:customStyle="1">
    <w:name w:val="Заголовок 3 Знак"/>
    <w:basedOn w:val="668"/>
    <w:link w:val="661"/>
    <w:uiPriority w:val="9"/>
    <w:rPr>
      <w:rFonts w:ascii="Arial" w:hAnsi="Arial" w:eastAsia="Arial" w:cs="Arial"/>
      <w:sz w:val="30"/>
      <w:szCs w:val="30"/>
    </w:rPr>
  </w:style>
  <w:style w:type="character" w:styleId="692" w:customStyle="1">
    <w:name w:val="Заголовок 4 Знак"/>
    <w:basedOn w:val="668"/>
    <w:link w:val="662"/>
    <w:uiPriority w:val="9"/>
    <w:rPr>
      <w:rFonts w:ascii="Arial" w:hAnsi="Arial" w:eastAsia="Arial" w:cs="Arial"/>
      <w:b/>
      <w:bCs/>
      <w:sz w:val="26"/>
      <w:szCs w:val="26"/>
    </w:rPr>
  </w:style>
  <w:style w:type="character" w:styleId="693" w:customStyle="1">
    <w:name w:val="Заголовок 5 Знак"/>
    <w:basedOn w:val="668"/>
    <w:link w:val="663"/>
    <w:uiPriority w:val="9"/>
    <w:rPr>
      <w:rFonts w:ascii="Arial" w:hAnsi="Arial" w:eastAsia="Arial" w:cs="Arial"/>
      <w:b/>
      <w:bCs/>
      <w:sz w:val="24"/>
      <w:szCs w:val="24"/>
    </w:rPr>
  </w:style>
  <w:style w:type="character" w:styleId="694" w:customStyle="1">
    <w:name w:val="Заголовок 6 Знак"/>
    <w:basedOn w:val="668"/>
    <w:link w:val="664"/>
    <w:uiPriority w:val="9"/>
    <w:rPr>
      <w:rFonts w:ascii="Arial" w:hAnsi="Arial" w:eastAsia="Arial" w:cs="Arial"/>
      <w:b/>
      <w:bCs/>
      <w:sz w:val="22"/>
      <w:szCs w:val="22"/>
    </w:rPr>
  </w:style>
  <w:style w:type="character" w:styleId="695" w:customStyle="1">
    <w:name w:val="Заголовок 7 Знак"/>
    <w:basedOn w:val="668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 w:customStyle="1">
    <w:name w:val="Заголовок 8 Знак"/>
    <w:basedOn w:val="668"/>
    <w:link w:val="666"/>
    <w:uiPriority w:val="9"/>
    <w:rPr>
      <w:rFonts w:ascii="Arial" w:hAnsi="Arial" w:eastAsia="Arial" w:cs="Arial"/>
      <w:i/>
      <w:iCs/>
      <w:sz w:val="22"/>
      <w:szCs w:val="22"/>
    </w:rPr>
  </w:style>
  <w:style w:type="character" w:styleId="697" w:customStyle="1">
    <w:name w:val="Заголовок 9 Знак"/>
    <w:basedOn w:val="668"/>
    <w:link w:val="667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658"/>
    <w:uiPriority w:val="34"/>
    <w:qFormat/>
    <w:pPr>
      <w:ind w:left="720"/>
      <w:contextualSpacing/>
    </w:pPr>
  </w:style>
  <w:style w:type="paragraph" w:styleId="699">
    <w:name w:val="No Spacing"/>
    <w:uiPriority w:val="1"/>
    <w:qFormat/>
    <w:pPr>
      <w:spacing w:after="0" w:line="240" w:lineRule="auto"/>
    </w:pPr>
  </w:style>
  <w:style w:type="paragraph" w:styleId="700">
    <w:name w:val="Title"/>
    <w:basedOn w:val="658"/>
    <w:next w:val="658"/>
    <w:link w:val="701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01" w:customStyle="1">
    <w:name w:val="Название Знак"/>
    <w:basedOn w:val="668"/>
    <w:link w:val="700"/>
    <w:uiPriority w:val="10"/>
    <w:rPr>
      <w:sz w:val="48"/>
      <w:szCs w:val="48"/>
    </w:rPr>
  </w:style>
  <w:style w:type="paragraph" w:styleId="702">
    <w:name w:val="Subtitle"/>
    <w:basedOn w:val="658"/>
    <w:next w:val="6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 w:customStyle="1">
    <w:name w:val="Подзаголовок Знак"/>
    <w:basedOn w:val="668"/>
    <w:link w:val="702"/>
    <w:uiPriority w:val="11"/>
    <w:rPr>
      <w:sz w:val="24"/>
      <w:szCs w:val="24"/>
    </w:rPr>
  </w:style>
  <w:style w:type="paragraph" w:styleId="704">
    <w:name w:val="Quote"/>
    <w:basedOn w:val="658"/>
    <w:next w:val="658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58"/>
    <w:next w:val="658"/>
    <w:link w:val="70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58"/>
    <w:link w:val="709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9" w:customStyle="1">
    <w:name w:val="Верхний колонтитул Знак"/>
    <w:basedOn w:val="668"/>
    <w:link w:val="708"/>
    <w:uiPriority w:val="99"/>
  </w:style>
  <w:style w:type="paragraph" w:styleId="710">
    <w:name w:val="Footer"/>
    <w:basedOn w:val="658"/>
    <w:link w:val="71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11" w:customStyle="1">
    <w:name w:val="Нижний колонтитул Знак"/>
    <w:basedOn w:val="668"/>
    <w:link w:val="710"/>
    <w:uiPriority w:val="99"/>
  </w:style>
  <w:style w:type="paragraph" w:styleId="712">
    <w:name w:val="Caption"/>
    <w:basedOn w:val="658"/>
    <w:next w:val="658"/>
    <w:link w:val="71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3" w:customStyle="1">
    <w:name w:val="Название объекта Знак"/>
    <w:basedOn w:val="668"/>
    <w:link w:val="712"/>
    <w:uiPriority w:val="35"/>
    <w:rPr>
      <w:b/>
      <w:bCs/>
      <w:color w:val="5b9bd5" w:themeColor="accent1"/>
      <w:sz w:val="18"/>
      <w:szCs w:val="18"/>
    </w:rPr>
  </w:style>
  <w:style w:type="table" w:styleId="714">
    <w:name w:val="Table Grid"/>
    <w:basedOn w:val="6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 w:customStyle="1">
    <w:name w:val="Table Grid Light"/>
    <w:basedOn w:val="66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66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1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9" w:customStyle="1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0" w:customStyle="1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1" w:customStyle="1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2" w:customStyle="1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3" w:customStyle="1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4" w:customStyle="1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5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6" w:customStyle="1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7" w:customStyle="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8" w:customStyle="1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9" w:customStyle="1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0" w:customStyle="1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1" w:customStyle="1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2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4" w:customStyle="1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5" w:customStyle="1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6" w:customStyle="1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7" w:customStyle="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8" w:customStyle="1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9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50" w:customStyle="1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751" w:customStyle="1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752" w:customStyle="1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753" w:customStyle="1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754" w:customStyle="1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755" w:customStyle="1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756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8" w:customStyle="1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9" w:customStyle="1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0" w:customStyle="1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1" w:customStyle="1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 w:customStyle="1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4" w:customStyle="1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5" w:customStyle="1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6" w:customStyle="1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7" w:customStyle="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8" w:customStyle="1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9" w:customStyle="1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0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7" w:customStyle="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9" w:customStyle="1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1" w:customStyle="1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2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3" w:customStyle="1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4" w:customStyle="1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5" w:customStyle="1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6" w:customStyle="1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7" w:customStyle="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8" w:customStyle="1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9" w:customStyle="1">
    <w:name w:val="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 &amp; 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Bordered &amp; 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Bordered &amp; 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Bordered &amp; 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Bordered &amp; 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Bordered &amp; 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5" w:customStyle="1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6" w:customStyle="1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7" w:customStyle="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8" w:customStyle="1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9" w:customStyle="1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0">
    <w:name w:val="footnote text"/>
    <w:basedOn w:val="658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basedOn w:val="668"/>
    <w:uiPriority w:val="99"/>
    <w:unhideWhenUsed/>
    <w:rPr>
      <w:vertAlign w:val="superscript"/>
    </w:rPr>
  </w:style>
  <w:style w:type="paragraph" w:styleId="843">
    <w:name w:val="endnote text"/>
    <w:basedOn w:val="658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basedOn w:val="668"/>
    <w:uiPriority w:val="99"/>
    <w:semiHidden/>
    <w:unhideWhenUsed/>
    <w:rPr>
      <w:vertAlign w:val="superscript"/>
    </w:rPr>
  </w:style>
  <w:style w:type="paragraph" w:styleId="846">
    <w:name w:val="toc 1"/>
    <w:basedOn w:val="658"/>
    <w:next w:val="658"/>
    <w:uiPriority w:val="39"/>
    <w:unhideWhenUsed/>
    <w:pPr>
      <w:spacing w:after="57"/>
    </w:pPr>
  </w:style>
  <w:style w:type="paragraph" w:styleId="847">
    <w:name w:val="toc 2"/>
    <w:basedOn w:val="658"/>
    <w:next w:val="658"/>
    <w:uiPriority w:val="39"/>
    <w:unhideWhenUsed/>
    <w:pPr>
      <w:spacing w:after="57"/>
      <w:ind w:left="283"/>
    </w:pPr>
  </w:style>
  <w:style w:type="paragraph" w:styleId="848">
    <w:name w:val="toc 3"/>
    <w:basedOn w:val="658"/>
    <w:next w:val="658"/>
    <w:uiPriority w:val="39"/>
    <w:unhideWhenUsed/>
    <w:pPr>
      <w:spacing w:after="57"/>
      <w:ind w:left="567"/>
    </w:pPr>
  </w:style>
  <w:style w:type="paragraph" w:styleId="849">
    <w:name w:val="toc 4"/>
    <w:basedOn w:val="658"/>
    <w:next w:val="658"/>
    <w:uiPriority w:val="39"/>
    <w:unhideWhenUsed/>
    <w:pPr>
      <w:spacing w:after="57"/>
      <w:ind w:left="850"/>
    </w:pPr>
  </w:style>
  <w:style w:type="paragraph" w:styleId="850">
    <w:name w:val="toc 5"/>
    <w:basedOn w:val="658"/>
    <w:next w:val="658"/>
    <w:uiPriority w:val="39"/>
    <w:unhideWhenUsed/>
    <w:pPr>
      <w:spacing w:after="57"/>
      <w:ind w:left="1134"/>
    </w:pPr>
  </w:style>
  <w:style w:type="paragraph" w:styleId="851">
    <w:name w:val="toc 6"/>
    <w:basedOn w:val="658"/>
    <w:next w:val="658"/>
    <w:uiPriority w:val="39"/>
    <w:unhideWhenUsed/>
    <w:pPr>
      <w:spacing w:after="57"/>
      <w:ind w:left="1417"/>
    </w:pPr>
  </w:style>
  <w:style w:type="paragraph" w:styleId="852">
    <w:name w:val="toc 7"/>
    <w:basedOn w:val="658"/>
    <w:next w:val="658"/>
    <w:uiPriority w:val="39"/>
    <w:unhideWhenUsed/>
    <w:pPr>
      <w:spacing w:after="57"/>
      <w:ind w:left="1701"/>
    </w:pPr>
  </w:style>
  <w:style w:type="paragraph" w:styleId="853">
    <w:name w:val="toc 8"/>
    <w:basedOn w:val="658"/>
    <w:next w:val="658"/>
    <w:uiPriority w:val="39"/>
    <w:unhideWhenUsed/>
    <w:pPr>
      <w:spacing w:after="57"/>
      <w:ind w:left="1984"/>
    </w:pPr>
  </w:style>
  <w:style w:type="paragraph" w:styleId="854">
    <w:name w:val="toc 9"/>
    <w:basedOn w:val="658"/>
    <w:next w:val="658"/>
    <w:uiPriority w:val="39"/>
    <w:unhideWhenUsed/>
    <w:pPr>
      <w:spacing w:after="57"/>
      <w:ind w:left="2268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58"/>
    <w:next w:val="658"/>
    <w:uiPriority w:val="99"/>
    <w:unhideWhenUsed/>
    <w:pPr>
      <w:spacing w:after="0"/>
    </w:pPr>
  </w:style>
  <w:style w:type="character" w:styleId="857">
    <w:name w:val="Hyperlink"/>
    <w:basedOn w:val="668"/>
    <w:uiPriority w:val="99"/>
    <w:unhideWhenUsed/>
    <w:rPr>
      <w:color w:val="0563c1" w:themeColor="hyperlink"/>
      <w:u w:val="single"/>
    </w:rPr>
  </w:style>
  <w:style w:type="paragraph" w:styleId="858">
    <w:name w:val="Balloon Text"/>
    <w:basedOn w:val="658"/>
    <w:link w:val="85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9" w:customStyle="1">
    <w:name w:val="Текст выноски Знак"/>
    <w:basedOn w:val="668"/>
    <w:link w:val="858"/>
    <w:uiPriority w:val="99"/>
    <w:semiHidden/>
    <w:rPr>
      <w:rFonts w:ascii="Segoe UI" w:hAnsi="Segoe UI" w:cs="Segoe UI"/>
      <w:sz w:val="18"/>
      <w:szCs w:val="18"/>
    </w:rPr>
  </w:style>
  <w:style w:type="paragraph" w:styleId="860" w:customStyle="1">
    <w:name w:val="ConsPlusNormal"/>
    <w:pPr>
      <w:widowControl w:val="off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861" w:customStyle="1">
    <w:name w:val="Standard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862" w:customStyle="1">
    <w:name w:val="Обычный (веб)1"/>
    <w:uiPriority w:val="99"/>
    <w:unhideWhenUsed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100" w:beforeAutospacing="1" w:after="100" w:afterAutospacing="1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Afinogenova_IA@szn74.ru" TargetMode="External"/><Relationship Id="rId10" Type="http://schemas.openxmlformats.org/officeDocument/2006/relationships/hyperlink" Target="mailto:Zamyatina_OM@szn74.ru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Маклаков</dc:creator>
  <cp:lastModifiedBy>Androsenkova.KA</cp:lastModifiedBy>
  <cp:revision>22</cp:revision>
  <dcterms:created xsi:type="dcterms:W3CDTF">2021-12-28T12:02:00Z</dcterms:created>
  <dcterms:modified xsi:type="dcterms:W3CDTF">2026-03-30T06:37:01Z</dcterms:modified>
</cp:coreProperties>
</file>