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B88" w:rsidRDefault="00B81F97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proofErr w:type="gramStart"/>
      <w:r>
        <w:rPr>
          <w:rFonts w:ascii="Times New Roman" w:hAnsi="Times New Roman" w:cs="Times New Roman"/>
          <w:bCs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br/>
        <w:t xml:space="preserve">распоряжением администрации </w:t>
      </w:r>
    </w:p>
    <w:p w:rsidR="009A0B88" w:rsidRDefault="00B81F9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от </w:t>
      </w:r>
      <w:bookmarkStart w:id="1" w:name="_GoBack"/>
      <w:r w:rsidRPr="00B81F97">
        <w:rPr>
          <w:rFonts w:ascii="Times New Roman" w:hAnsi="Times New Roman" w:cs="Times New Roman"/>
          <w:bCs/>
          <w:sz w:val="28"/>
          <w:szCs w:val="28"/>
          <w:u w:val="single"/>
        </w:rPr>
        <w:t>05.11.2024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B81F97">
        <w:rPr>
          <w:rFonts w:ascii="Times New Roman" w:hAnsi="Times New Roman" w:cs="Times New Roman"/>
          <w:bCs/>
          <w:sz w:val="28"/>
          <w:szCs w:val="28"/>
          <w:u w:val="single"/>
        </w:rPr>
        <w:t>885-р</w:t>
      </w:r>
    </w:p>
    <w:bookmarkEnd w:id="0"/>
    <w:p w:rsidR="009A0B88" w:rsidRDefault="009A0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B88" w:rsidRDefault="00B81F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9A0B88" w:rsidRDefault="00B81F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</w:p>
    <w:p w:rsidR="009A0B88" w:rsidRDefault="009A0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B88" w:rsidRDefault="00B81F9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текущего состояния сферы культуры</w:t>
      </w:r>
    </w:p>
    <w:p w:rsidR="009A0B88" w:rsidRDefault="009A0B88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 (далее – Программа) определяет приоритеты и цели муниципальной политики в сфере культуры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городском округе (далее – городской округ),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стратегическими приоритетами, задачи муницип</w:t>
      </w:r>
      <w:r>
        <w:rPr>
          <w:rFonts w:ascii="Times New Roman" w:hAnsi="Times New Roman" w:cs="Times New Roman"/>
          <w:sz w:val="28"/>
          <w:szCs w:val="28"/>
        </w:rPr>
        <w:t>ального управления, способы их эффективного решения (финансовое обеспечение, механизмы реализации, показатели результативности).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направлена на создание на территории городского округа благоприятных условий для формирования духовно-нравственных и </w:t>
      </w:r>
      <w:r>
        <w:rPr>
          <w:rFonts w:ascii="Times New Roman" w:hAnsi="Times New Roman" w:cs="Times New Roman"/>
          <w:sz w:val="28"/>
          <w:szCs w:val="28"/>
        </w:rPr>
        <w:t>культурно-ценностных ориентиров жителей города, обеспечение гармоничного развития личности. Объектом Программы является сфера культуры, функционирование и материально-техническая база муниципальных учреждений культуры и дополнительного образования, реализа</w:t>
      </w:r>
      <w:r>
        <w:rPr>
          <w:rFonts w:ascii="Times New Roman" w:hAnsi="Times New Roman" w:cs="Times New Roman"/>
          <w:sz w:val="28"/>
          <w:szCs w:val="28"/>
        </w:rPr>
        <w:t>ция муниципальной политики в деятельности управления культуры администрации городского округа (далее – управление культуры администрации).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территории городского округа сложилась хорошо развитая сеть муниципальных учреждений культуры, которая, в основном</w:t>
      </w:r>
      <w:r>
        <w:rPr>
          <w:rFonts w:ascii="Times New Roman" w:hAnsi="Times New Roman" w:cs="Times New Roman"/>
          <w:sz w:val="28"/>
          <w:szCs w:val="28"/>
        </w:rPr>
        <w:t>, соответствует  распоряжению Министерства культуры Российской Федерации от 23.10.2023 № 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</w:t>
      </w:r>
      <w:r>
        <w:rPr>
          <w:rFonts w:ascii="Times New Roman" w:hAnsi="Times New Roman" w:cs="Times New Roman"/>
          <w:sz w:val="28"/>
          <w:szCs w:val="28"/>
        </w:rPr>
        <w:t>в и норм оптимального размещения организаций культуры и обеспеченности населения услугами организаций культуры».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Задачи культурной политики в городском округе на муниципальном уровне реализуются сетью следующих учреждений: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дома культуры – 13 объектов, из</w:t>
      </w:r>
      <w:r>
        <w:rPr>
          <w:rFonts w:ascii="Times New Roman" w:hAnsi="Times New Roman" w:cs="Times New Roman"/>
          <w:sz w:val="28"/>
          <w:szCs w:val="28"/>
        </w:rPr>
        <w:t xml:space="preserve"> них 6 юридических лиц: </w:t>
      </w:r>
      <w:proofErr w:type="gramStart"/>
      <w:r>
        <w:rPr>
          <w:rFonts w:ascii="Times New Roman" w:hAnsi="Times New Roman" w:cs="Times New Roman"/>
          <w:sz w:val="28"/>
          <w:szCs w:val="28"/>
        </w:rPr>
        <w:t>МУ «ДК Бажова», МУ «ДК Петрякова», МУ «ДК Маяковского» (имеет 4 обособленных подразделения: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ДК Лермонтова, ДК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ДК пос. Заозерный, ДК с. Синеглазово); МУ «ДК Кирова» (имеет обособленное подразделение: ДК Угольщиков); МУ «</w:t>
      </w:r>
      <w:r>
        <w:rPr>
          <w:rFonts w:ascii="Times New Roman" w:hAnsi="Times New Roman" w:cs="Times New Roman"/>
          <w:sz w:val="28"/>
          <w:szCs w:val="28"/>
        </w:rPr>
        <w:t xml:space="preserve">ДК 30 лет ВЛКСМ» (имеет обособленное подразделение: ДК Вахрушева); МУ «ДК Ильича» (имеет обособленное подразделение: </w:t>
      </w:r>
      <w:proofErr w:type="gramStart"/>
      <w:r>
        <w:rPr>
          <w:rFonts w:ascii="Times New Roman" w:hAnsi="Times New Roman" w:cs="Times New Roman"/>
          <w:sz w:val="28"/>
          <w:szCs w:val="28"/>
        </w:rPr>
        <w:t>ДК РМЗ);</w:t>
      </w:r>
      <w:proofErr w:type="gramEnd"/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 «ЦБС»,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состоящая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12 библиотек;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 «Краеведческий музей»;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 школы дополнительного образования.</w:t>
      </w: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A0B88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A0B88" w:rsidRDefault="00B81F9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Приоритеты и цели муниципальной политики</w:t>
      </w:r>
    </w:p>
    <w:p w:rsidR="009A0B88" w:rsidRDefault="00B81F9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сфере реализации муниципальной программы</w:t>
      </w: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основных направлений Стратегии Правительства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области социально-экономического развития в сфере культурной политики и Федерального закона от 06 октября 2003 года № 131-ФЗ «Об общих принципах организации местного самоуправле</w:t>
      </w:r>
      <w:r>
        <w:rPr>
          <w:rFonts w:ascii="Times New Roman" w:hAnsi="Times New Roman" w:cs="Times New Roman"/>
          <w:sz w:val="28"/>
          <w:szCs w:val="28"/>
        </w:rPr>
        <w:t>ния в Российской Федерации».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Важнейшими документами для планирования и повышения эффективности управления в сфере культуры и дополнительного образования являются Указы Президента Российской Федерации от 07.05.2012 № 597 «О мероприятиях по реализации госуда</w:t>
      </w:r>
      <w:r>
        <w:rPr>
          <w:rFonts w:ascii="Times New Roman" w:hAnsi="Times New Roman" w:cs="Times New Roman"/>
          <w:sz w:val="28"/>
          <w:szCs w:val="28"/>
        </w:rPr>
        <w:t>рственной социальной политики», от 01.06.2012 № 761 «О Национальной стратегии действий в интересах детей на 2012-2017 годы», от 07.05.2012 № 599 «О мерах по реализации государственной политики в области образования и науки», от 24.12.2014 № 808 «Об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 xml:space="preserve">ении основ государственной культурной политики», </w:t>
      </w:r>
      <w:hyperlink r:id="rId9" w:history="1">
        <w:r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от 07.05.2024 № 309 «О национальных целях развития Российской Федерации на период до 2030 года и на перспективу до 2036 года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национальный проект «Культура», у</w:t>
      </w:r>
      <w:r>
        <w:rPr>
          <w:rFonts w:ascii="Times New Roman" w:hAnsi="Times New Roman" w:cs="Times New Roman"/>
          <w:iCs/>
          <w:sz w:val="28"/>
          <w:szCs w:val="28"/>
        </w:rPr>
        <w:t>твержденный президиумом Совета при Президенте Российской Федерации по стратегическому развитию и национальным проектам (протокол от 24.12.2018 № 16).</w:t>
      </w:r>
      <w:proofErr w:type="gramEnd"/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распоряжении Правительства Российской Федерации от 11.09.2024 № 2501-р </w:t>
      </w:r>
      <w:r>
        <w:rPr>
          <w:rFonts w:ascii="Times New Roman" w:hAnsi="Times New Roman" w:cs="Times New Roman"/>
          <w:sz w:val="28"/>
          <w:szCs w:val="28"/>
        </w:rPr>
        <w:t>«О Стратегии государственной культурной политики на период до 2030 года» указано, что государство впервые возводит культуру в ранг национальных приоритетов и признает ее важнейшим фактором роста качества жизни и гармонизации общественных отношений, залогом</w:t>
      </w:r>
      <w:r>
        <w:rPr>
          <w:rFonts w:ascii="Times New Roman" w:hAnsi="Times New Roman" w:cs="Times New Roman"/>
          <w:sz w:val="28"/>
          <w:szCs w:val="28"/>
        </w:rPr>
        <w:t xml:space="preserve"> динамичного социально-экономического развития, гарантом сохранения единого культурного пространства и территориальной целостности России.</w:t>
      </w:r>
      <w:proofErr w:type="gramEnd"/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Стратегией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на период до 2035 года (далее – Стратегия) </w:t>
      </w:r>
      <w:r>
        <w:rPr>
          <w:rFonts w:ascii="Times New Roman" w:hAnsi="Times New Roman" w:cs="Times New Roman"/>
          <w:sz w:val="28"/>
          <w:szCs w:val="28"/>
        </w:rPr>
        <w:t>определены следующие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риоритеты, цели, задачи и направления социально-экономической политики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направлению «Социальная сфера», в частности в области культуры.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Цель: развитие, модернизация и реформирование социальной сферы.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Задача: создание культурной сред</w:t>
      </w:r>
      <w:r>
        <w:rPr>
          <w:sz w:val="28"/>
          <w:szCs w:val="28"/>
        </w:rPr>
        <w:t>ы для сохранения, накопления и развития человеческого капитала, повышения уровня удовлетворенности населения качеством и доступностью услуг в сфере культуры, укрепления духовной общности и гармонизации межнациональных отношений.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Показатели: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Результаты н</w:t>
      </w:r>
      <w:r>
        <w:rPr>
          <w:sz w:val="28"/>
          <w:szCs w:val="28"/>
        </w:rPr>
        <w:t xml:space="preserve">езависимой </w:t>
      </w:r>
      <w:proofErr w:type="gramStart"/>
      <w:r>
        <w:rPr>
          <w:sz w:val="28"/>
          <w:szCs w:val="28"/>
        </w:rPr>
        <w:t>оценки качества условий оказания услуг</w:t>
      </w:r>
      <w:proofErr w:type="gramEnd"/>
      <w:r>
        <w:rPr>
          <w:sz w:val="28"/>
          <w:szCs w:val="28"/>
        </w:rPr>
        <w:t xml:space="preserve"> муниципальными организациями в сфере культуры.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Охват населения услугами учреждений культуры.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Доля зданий учреждений культуры, находящихся в аварийном состоянии и требующих капитального ремонта.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Механизмы реализации задачи: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 Реконструкция, ремонт и оснащение учреждений культуры, находящихся в неудовлетворительном техническом состоянии и не отвечающих современным требованиям эксплуатации, в том числе с привлечением внебюджетных источников финанси</w:t>
      </w:r>
      <w:r>
        <w:rPr>
          <w:sz w:val="28"/>
          <w:szCs w:val="28"/>
        </w:rPr>
        <w:t>рования и финансирования из федерального бюджета.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Укрепление материально-технической базы учреждений культуры, в том числе с привлечением федеральных и региональных средств за счет участия в государственных программах и национальных (региональных) проек</w:t>
      </w:r>
      <w:r>
        <w:rPr>
          <w:sz w:val="28"/>
          <w:szCs w:val="28"/>
        </w:rPr>
        <w:t>тах.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Создание условий для привлечения в сферу культуры высококвалифицированных кадров, их постоянного саморазвития и самообучения, повышения уровня квалификации.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Содействие повышению конкурентоспособности творческих коллективов городского округа на р</w:t>
      </w:r>
      <w:r>
        <w:rPr>
          <w:sz w:val="28"/>
          <w:szCs w:val="28"/>
        </w:rPr>
        <w:t>егиональном, российском и международном уровнях.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Разработка и реализация культурно-досуговых мероприятий высокого уровня посредством партнерства учреждений культуры, предпринимательства, некоммерческих ассоциаций и вовлечения в такие мероприятия населен</w:t>
      </w:r>
      <w:r>
        <w:rPr>
          <w:sz w:val="28"/>
          <w:szCs w:val="28"/>
        </w:rPr>
        <w:t>ия городского округа.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Вовлечение большего числа граждан в культурные процессы, в том числе за счет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культурной среды.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Создание условий для граждан в части реализации их потребностей в культурном развитии, самореализации, творчестве с помо</w:t>
      </w:r>
      <w:r>
        <w:rPr>
          <w:sz w:val="28"/>
          <w:szCs w:val="28"/>
        </w:rPr>
        <w:t>щью современной инфраструктуры в сфере культуры.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Укрепление единства российской нации и создание условий для этнокультурного развития народов Российской Федерации, проживающих на территории городского округа, сохранение этнокультурной самобытности народ</w:t>
      </w:r>
      <w:r>
        <w:rPr>
          <w:sz w:val="28"/>
          <w:szCs w:val="28"/>
        </w:rPr>
        <w:t>ов России за счет: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проведения мероприятий, просвещающих об истории и культуре народов Российской Федерации, проживающих в городском округе, в том числе за счет привлечения СМИ;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проведения тематических праздников и культурно-массовых мероприятий, осве</w:t>
      </w:r>
      <w:r>
        <w:rPr>
          <w:sz w:val="28"/>
          <w:szCs w:val="28"/>
        </w:rPr>
        <w:t>щающих традиции и культуру народов Российской Федерации, проживающих на территории городского округа;</w:t>
      </w:r>
    </w:p>
    <w:p w:rsidR="009A0B88" w:rsidRDefault="00B81F9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формирования в обществе атмосферы уважения к историческому наследию и культурным ценностям народов Российской Федерации.</w:t>
      </w: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B81F9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ст</w:t>
      </w:r>
      <w:r>
        <w:rPr>
          <w:rFonts w:ascii="Times New Roman" w:hAnsi="Times New Roman" w:cs="Times New Roman"/>
          <w:sz w:val="28"/>
          <w:szCs w:val="28"/>
        </w:rPr>
        <w:t>ратегическими приоритетами</w:t>
      </w:r>
    </w:p>
    <w:p w:rsidR="009A0B88" w:rsidRDefault="009A0B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B81F9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Программы учтены национальные цели развития Российской Федерации на период до 2030 года и на перспективу до 2036 года в области культуры, определенные </w:t>
      </w:r>
      <w:hyperlink r:id="rId10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Указом Президента Российской Федерации от 07.05.2024 № 309 «О национальных целях развития Российской Федерации на период до 2030 года и на перспективу до 2036 года</w:t>
        </w:r>
      </w:hyperlink>
      <w:r>
        <w:rPr>
          <w:rFonts w:ascii="Times New Roman" w:hAnsi="Times New Roman" w:cs="Times New Roman"/>
          <w:sz w:val="28"/>
          <w:szCs w:val="28"/>
        </w:rPr>
        <w:t>»:</w:t>
      </w:r>
    </w:p>
    <w:p w:rsidR="009A0B88" w:rsidRDefault="00B81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2"/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>
        <w:rPr>
          <w:rFonts w:ascii="Times New Roman" w:hAnsi="Times New Roman" w:cs="Times New Roman"/>
          <w:sz w:val="28"/>
          <w:szCs w:val="28"/>
        </w:rPr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9A0B88" w:rsidRDefault="00B81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"/>
      <w:bookmarkEnd w:id="2"/>
      <w:r>
        <w:rPr>
          <w:rFonts w:ascii="Times New Roman" w:hAnsi="Times New Roman" w:cs="Times New Roman"/>
          <w:sz w:val="28"/>
          <w:szCs w:val="28"/>
        </w:rPr>
        <w:t>- комфортная и безопасная среда для жизни.</w:t>
      </w:r>
    </w:p>
    <w:bookmarkEnd w:id="3"/>
    <w:p w:rsidR="009A0B88" w:rsidRDefault="00B81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 показателем и задачей, выполнение которой характеризует достижение национальной цели «Реализация потенциала каждого человека, развитие его талантов, воспитание патриотичной и социально ответственной личности» является повышение к 2030 году удовлетв</w:t>
      </w:r>
      <w:r>
        <w:rPr>
          <w:rFonts w:ascii="Times New Roman" w:hAnsi="Times New Roman" w:cs="Times New Roman"/>
          <w:sz w:val="28"/>
          <w:szCs w:val="28"/>
        </w:rPr>
        <w:t>оренности граждан работой государственных и муниципальных организаций культуры, искусства и народного творчества.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Стратегии данные показатели отражены по направлению «Социальная сфера».</w:t>
      </w:r>
    </w:p>
    <w:p w:rsidR="009A0B88" w:rsidRDefault="00B81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Стратегии: развитие, модернизация и реформирование социальной с</w:t>
      </w:r>
      <w:r>
        <w:rPr>
          <w:rFonts w:ascii="Times New Roman" w:hAnsi="Times New Roman" w:cs="Times New Roman"/>
          <w:sz w:val="28"/>
          <w:szCs w:val="28"/>
        </w:rPr>
        <w:t>феры.</w:t>
      </w:r>
    </w:p>
    <w:p w:rsidR="009A0B88" w:rsidRDefault="00B81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Стратегии: создание культурной среды для сохранения, накопления и развития человеческого капитала, повышения уровня удовлетворенности населения качеством и доступностью услуг в сфере культуры, укрепления духовной общности и гармонизации межнац</w:t>
      </w:r>
      <w:r>
        <w:rPr>
          <w:rFonts w:ascii="Times New Roman" w:hAnsi="Times New Roman" w:cs="Times New Roman"/>
          <w:sz w:val="28"/>
          <w:szCs w:val="28"/>
        </w:rPr>
        <w:t>иональных отношений.</w:t>
      </w:r>
    </w:p>
    <w:p w:rsidR="009A0B88" w:rsidRDefault="00B81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Механизмы реализации задачи: разработка и реализация культурно-досуговых мероприятий высокого уровня посредством партнерства учреждений культуры, предпринимательства, некоммерческих ассоциаций и вовлечения в такие мероприятия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9A0B88" w:rsidRDefault="00B81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Стратегии: охват населения услугами учреждений культуры.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Стратегией Программа взаимоувязана посредством следующих показателей: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 населения библиотечными формами обслуживания;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суммарное количество мероприятий, прове</w:t>
      </w:r>
      <w:r>
        <w:rPr>
          <w:rFonts w:ascii="Times New Roman" w:hAnsi="Times New Roman" w:cs="Times New Roman"/>
          <w:sz w:val="28"/>
          <w:szCs w:val="28"/>
        </w:rPr>
        <w:t>денных учреждениями культурно-досугового типа;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 населения публичным показом музейных предметов и музейных коллекций;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 детей обучением в школах дополнительного образования.</w:t>
      </w:r>
    </w:p>
    <w:p w:rsidR="009A0B88" w:rsidRDefault="00B81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национальной цели комфортная и безопасная среда для</w:t>
      </w:r>
      <w:r>
        <w:rPr>
          <w:rFonts w:ascii="Times New Roman" w:hAnsi="Times New Roman" w:cs="Times New Roman"/>
          <w:sz w:val="28"/>
          <w:szCs w:val="28"/>
        </w:rPr>
        <w:t xml:space="preserve"> жизни в Стратегии предусмотрен следующий показатель: доля зданий учреждений культуры, находящихся в аварийном состоянии и требующих капитального ремонта. </w:t>
      </w:r>
    </w:p>
    <w:p w:rsidR="009A0B88" w:rsidRDefault="00B81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реализуется через следующие механизмы:</w:t>
      </w:r>
    </w:p>
    <w:p w:rsidR="009A0B88" w:rsidRDefault="00B81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</w:t>
      </w:r>
      <w:r>
        <w:rPr>
          <w:rFonts w:ascii="Times New Roman" w:hAnsi="Times New Roman" w:cs="Times New Roman"/>
          <w:sz w:val="28"/>
          <w:szCs w:val="28"/>
        </w:rPr>
        <w:t>ий культуры, в том числе с привлечением федеральных и региональных средств за счет участия в государственных программах и национальных (региональных) проектах;</w:t>
      </w:r>
    </w:p>
    <w:p w:rsidR="009A0B88" w:rsidRDefault="00B81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граждан в части реализации их потребностей в культурном развитии, самореа</w:t>
      </w:r>
      <w:r>
        <w:rPr>
          <w:rFonts w:ascii="Times New Roman" w:hAnsi="Times New Roman" w:cs="Times New Roman"/>
          <w:sz w:val="28"/>
          <w:szCs w:val="28"/>
        </w:rPr>
        <w:t xml:space="preserve">лизации, творчестве с помощью современной инфраструктуры в сфере культуры. 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Программе для достижения данных целей предусмотрены такие мероприятия (результаты) комплекса процессных мероприятий, как проведение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ремонтных работ, составление проектно-сметной </w:t>
      </w:r>
      <w:r>
        <w:rPr>
          <w:rFonts w:ascii="Times New Roman" w:hAnsi="Times New Roman" w:cs="Times New Roman"/>
          <w:sz w:val="28"/>
          <w:szCs w:val="28"/>
        </w:rPr>
        <w:t>документации, проведение противопожарных мероприятий, обеспечение безопасных условий жизнедеятельности, у</w:t>
      </w:r>
      <w:r>
        <w:rPr>
          <w:rFonts w:ascii="Times New Roman" w:hAnsi="Times New Roman" w:cs="Times New Roman"/>
          <w:bCs/>
          <w:sz w:val="28"/>
          <w:szCs w:val="28"/>
        </w:rPr>
        <w:t>крепление материально-технической базы.</w:t>
      </w: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B81F9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муниципального управления,</w:t>
      </w:r>
    </w:p>
    <w:p w:rsidR="009A0B88" w:rsidRDefault="00B81F97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их эффективного решения в сфере культуры</w:t>
      </w:r>
    </w:p>
    <w:p w:rsidR="009A0B88" w:rsidRDefault="009A0B8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sub_1089"/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тветственный исполнитель Программы: 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культуры администрации.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Программы обеспечивает: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90"/>
      <w:bookmarkEnd w:id="4"/>
      <w:r>
        <w:rPr>
          <w:rFonts w:ascii="Times New Roman" w:hAnsi="Times New Roman" w:cs="Times New Roman"/>
          <w:sz w:val="28"/>
          <w:szCs w:val="28"/>
        </w:rPr>
        <w:t>1) текущее управление реализацией Программы;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91"/>
      <w:bookmarkEnd w:id="5"/>
      <w:r>
        <w:rPr>
          <w:rFonts w:ascii="Times New Roman" w:hAnsi="Times New Roman" w:cs="Times New Roman"/>
          <w:sz w:val="28"/>
          <w:szCs w:val="28"/>
        </w:rPr>
        <w:t>2) достижение утвержденных значений целевых индикаторов, ожидаемых результатов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92"/>
      <w:bookmarkEnd w:id="6"/>
      <w:r>
        <w:rPr>
          <w:rFonts w:ascii="Times New Roman" w:hAnsi="Times New Roman" w:cs="Times New Roman"/>
          <w:sz w:val="28"/>
          <w:szCs w:val="28"/>
        </w:rPr>
        <w:t>3) внесение изменений в Программу в установленном порядке;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93"/>
      <w:bookmarkEnd w:id="7"/>
      <w:r>
        <w:rPr>
          <w:rFonts w:ascii="Times New Roman" w:hAnsi="Times New Roman" w:cs="Times New Roman"/>
          <w:sz w:val="28"/>
          <w:szCs w:val="28"/>
        </w:rPr>
        <w:t>4) ежегодное уточнение с учетом выделенных на реализацию Программы финансовых средств целевых индикаторов и показателей ожидаемых результатов исполнения мероприятий Программы, затрат по</w:t>
      </w:r>
      <w:r>
        <w:rPr>
          <w:rFonts w:ascii="Times New Roman" w:hAnsi="Times New Roman" w:cs="Times New Roman"/>
          <w:sz w:val="28"/>
          <w:szCs w:val="28"/>
        </w:rPr>
        <w:t xml:space="preserve"> программным мероприятиям, механизмов реализации Программы;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94"/>
      <w:bookmarkEnd w:id="8"/>
      <w:r>
        <w:rPr>
          <w:rFonts w:ascii="Times New Roman" w:hAnsi="Times New Roman" w:cs="Times New Roman"/>
          <w:sz w:val="28"/>
          <w:szCs w:val="28"/>
        </w:rPr>
        <w:t>5) уточнение на основе анализа выполнения мероприятий Программы и ее эффективности в текущем году объема средств, необходимых для финансирования Программы в очередном финансовом году;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95"/>
      <w:bookmarkEnd w:id="9"/>
      <w:r>
        <w:rPr>
          <w:rFonts w:ascii="Times New Roman" w:hAnsi="Times New Roman" w:cs="Times New Roman"/>
          <w:sz w:val="28"/>
          <w:szCs w:val="28"/>
        </w:rPr>
        <w:t xml:space="preserve">6) в случае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необходимости подготовку предложений по внесению изменений, касающихся объемов бюджетных ассигнований ответственного исполнителя, в решение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Челябинской области о бюджете города Копейска на текущий финансовый </w:t>
      </w:r>
      <w:r>
        <w:rPr>
          <w:rFonts w:ascii="Times New Roman" w:hAnsi="Times New Roman" w:cs="Times New Roman"/>
          <w:sz w:val="28"/>
          <w:szCs w:val="28"/>
        </w:rPr>
        <w:t>год и плановый период с обоснованием предложенных изменений;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96"/>
      <w:bookmarkEnd w:id="10"/>
      <w:r>
        <w:rPr>
          <w:rFonts w:ascii="Times New Roman" w:hAnsi="Times New Roman" w:cs="Times New Roman"/>
          <w:sz w:val="28"/>
          <w:szCs w:val="28"/>
        </w:rPr>
        <w:t xml:space="preserve">7) представление в управление экономического развития администрации городского округа (далее – управление экономического развития) отчета </w:t>
      </w:r>
      <w:bookmarkStart w:id="12" w:name="sub_1097"/>
      <w:bookmarkEnd w:id="11"/>
      <w:r>
        <w:rPr>
          <w:rFonts w:ascii="Times New Roman" w:hAnsi="Times New Roman" w:cs="Times New Roman"/>
          <w:sz w:val="28"/>
          <w:szCs w:val="28"/>
        </w:rPr>
        <w:t>о реализации Программы за полугодие и девять месяцев теку</w:t>
      </w:r>
      <w:r>
        <w:rPr>
          <w:rFonts w:ascii="Times New Roman" w:hAnsi="Times New Roman" w:cs="Times New Roman"/>
          <w:sz w:val="28"/>
          <w:szCs w:val="28"/>
        </w:rPr>
        <w:t xml:space="preserve">щего года (далее – отчетный период), заполняемые нарастающим итогом с начала года, – не позднее 16 числа месяца, следующего за отчетным периодом; 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представление в управление экономического развития годового отчета о реализации Программы (далее – годовой</w:t>
      </w:r>
      <w:r>
        <w:rPr>
          <w:rFonts w:ascii="Times New Roman" w:hAnsi="Times New Roman" w:cs="Times New Roman"/>
          <w:sz w:val="28"/>
          <w:szCs w:val="28"/>
        </w:rPr>
        <w:t xml:space="preserve"> отчет) – не позднее 1 марта года, следующего за отчетным годом;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98"/>
      <w:bookmarkEnd w:id="12"/>
      <w:r>
        <w:rPr>
          <w:rFonts w:ascii="Times New Roman" w:hAnsi="Times New Roman" w:cs="Times New Roman"/>
          <w:sz w:val="28"/>
          <w:szCs w:val="28"/>
        </w:rPr>
        <w:t xml:space="preserve">9) размещение годового отчета о реализации Программы в государственную автоматизированную информационную систему «Управление» не позднее 1 июня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99"/>
      <w:bookmarkEnd w:id="13"/>
      <w:r>
        <w:rPr>
          <w:rFonts w:ascii="Times New Roman" w:hAnsi="Times New Roman" w:cs="Times New Roman"/>
          <w:sz w:val="28"/>
          <w:szCs w:val="28"/>
        </w:rPr>
        <w:t>10)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по запросу управления экономического развития иной дополнительной (уточненной) информации о ходе реализации Программы.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101"/>
      <w:bookmarkEnd w:id="14"/>
      <w:r>
        <w:rPr>
          <w:rFonts w:ascii="Times New Roman" w:hAnsi="Times New Roman" w:cs="Times New Roman"/>
          <w:sz w:val="28"/>
          <w:szCs w:val="28"/>
        </w:rPr>
        <w:t>Ответственный исполнитель, соисполнители и участники Программы несут ответственность за реализацию соответствующих структурных элементов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программы, выполнение мероприятий (достижение результатов), достижение соответствующих показателей муниципальной программы и ее структурных элементов, а также полноту и достоверность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сведений, представляемых для подготовки годового отчета о </w:t>
      </w:r>
      <w:r>
        <w:rPr>
          <w:rFonts w:ascii="Times New Roman" w:hAnsi="Times New Roman" w:cs="Times New Roman"/>
          <w:sz w:val="28"/>
          <w:szCs w:val="28"/>
        </w:rPr>
        <w:t>ходе реализации и об оценке эффективности реализации муниципальной программы.</w:t>
      </w:r>
    </w:p>
    <w:p w:rsidR="009A0B88" w:rsidRDefault="00B81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Программы и общую координацию реализации программных мероприятий осуществляет заместитель Главы городского округа по социальному развитию.</w:t>
      </w:r>
    </w:p>
    <w:bookmarkEnd w:id="15"/>
    <w:p w:rsidR="009A0B88" w:rsidRDefault="009A0B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B81F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A0B88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A0B88" w:rsidRDefault="00B81F97">
      <w:pPr>
        <w:spacing w:after="0" w:line="240" w:lineRule="auto"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9A0B88" w:rsidRDefault="00B81F97">
      <w:pPr>
        <w:spacing w:after="0" w:line="240" w:lineRule="auto"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A0B88" w:rsidRDefault="00B81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9A0B88" w:rsidRDefault="00B81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9A0B88" w:rsidRDefault="00B81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округа»</w:t>
      </w:r>
    </w:p>
    <w:p w:rsidR="009A0B88" w:rsidRDefault="00B81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A0B88" w:rsidRDefault="00B81F97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</w:t>
      </w:r>
    </w:p>
    <w:tbl>
      <w:tblPr>
        <w:tblW w:w="5307" w:type="pct"/>
        <w:tblInd w:w="-459" w:type="dxa"/>
        <w:tblLook w:val="01E0" w:firstRow="1" w:lastRow="1" w:firstColumn="1" w:lastColumn="1" w:noHBand="0" w:noVBand="0"/>
      </w:tblPr>
      <w:tblGrid>
        <w:gridCol w:w="3968"/>
        <w:gridCol w:w="2696"/>
        <w:gridCol w:w="9030"/>
      </w:tblGrid>
      <w:tr w:rsidR="009A0B88">
        <w:trPr>
          <w:trHeight w:val="371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городского округа по социальному развитию </w:t>
            </w:r>
          </w:p>
        </w:tc>
      </w:tr>
      <w:tr w:rsidR="009A0B88">
        <w:trPr>
          <w:trHeight w:val="525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Челябинской области (далее – управление культуры)</w:t>
            </w:r>
          </w:p>
        </w:tc>
      </w:tr>
      <w:tr w:rsidR="009A0B88">
        <w:trPr>
          <w:trHeight w:val="237"/>
        </w:trPr>
        <w:tc>
          <w:tcPr>
            <w:tcW w:w="1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2025 - 2027 годы</w:t>
            </w:r>
          </w:p>
        </w:tc>
      </w:tr>
      <w:tr w:rsidR="009A0B88">
        <w:trPr>
          <w:trHeight w:val="228"/>
        </w:trPr>
        <w:tc>
          <w:tcPr>
            <w:tcW w:w="1264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2028 - 2030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A0B88">
        <w:trPr>
          <w:trHeight w:val="464"/>
        </w:trPr>
        <w:tc>
          <w:tcPr>
            <w:tcW w:w="1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Развитие на муниципальном уровне сферы культуры и искусства города Копейска, обеспечивающей реализацию культурного и духовного потенциала жителей города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 1.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и доступность культурных услуг для всех слоев населения</w:t>
            </w:r>
          </w:p>
        </w:tc>
      </w:tr>
      <w:tr w:rsidR="009A0B88">
        <w:trPr>
          <w:trHeight w:val="463"/>
        </w:trPr>
        <w:tc>
          <w:tcPr>
            <w:tcW w:w="1264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 2. Совершенствование библиотечного обслуживания населения округа в информационной, культурной и образовательной сферах. Формирование у населения устойчивого интереса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чтению</w:t>
            </w:r>
          </w:p>
        </w:tc>
      </w:tr>
      <w:tr w:rsidR="009A0B88">
        <w:trPr>
          <w:trHeight w:val="226"/>
        </w:trPr>
        <w:tc>
          <w:tcPr>
            <w:tcW w:w="1264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 3. Развитие культурно-досуговой деятельности</w:t>
            </w:r>
          </w:p>
        </w:tc>
      </w:tr>
      <w:tr w:rsidR="009A0B88">
        <w:trPr>
          <w:trHeight w:val="499"/>
        </w:trPr>
        <w:tc>
          <w:tcPr>
            <w:tcW w:w="1264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 4. Обеспечение безопасности и сохранности музейных фондов. Обеспечение музейного обслуживания населения  округа</w:t>
            </w:r>
          </w:p>
        </w:tc>
      </w:tr>
      <w:tr w:rsidR="009A0B88">
        <w:trPr>
          <w:trHeight w:val="274"/>
        </w:trPr>
        <w:tc>
          <w:tcPr>
            <w:tcW w:w="1264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 5. Обеспечение развития дополнительного образования детей</w:t>
            </w:r>
          </w:p>
        </w:tc>
      </w:tr>
      <w:tr w:rsidR="009A0B88">
        <w:trPr>
          <w:trHeight w:val="217"/>
        </w:trPr>
        <w:tc>
          <w:tcPr>
            <w:tcW w:w="1264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 6. Поддержка одаренных детей </w:t>
            </w:r>
          </w:p>
        </w:tc>
      </w:tr>
      <w:tr w:rsidR="009A0B88">
        <w:trPr>
          <w:trHeight w:val="268"/>
        </w:trPr>
        <w:tc>
          <w:tcPr>
            <w:tcW w:w="1264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 7. Обеспечение эффективного и качественного предоставления муниципальных услуг подведомственными учреждениями</w:t>
            </w:r>
          </w:p>
        </w:tc>
      </w:tr>
      <w:tr w:rsidR="009A0B88">
        <w:trPr>
          <w:trHeight w:val="690"/>
        </w:trPr>
        <w:tc>
          <w:tcPr>
            <w:tcW w:w="1264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9A0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 8.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полной и достоверной информации о финансовой деятельности и имущественном положении  обслуживаемых учреждений</w:t>
            </w:r>
          </w:p>
        </w:tc>
      </w:tr>
      <w:tr w:rsidR="009A0B88">
        <w:trPr>
          <w:trHeight w:val="461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1 791 740,68</w:t>
            </w:r>
          </w:p>
        </w:tc>
      </w:tr>
      <w:tr w:rsidR="009A0B88">
        <w:trPr>
          <w:trHeight w:val="697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«Культура» / Государственная программа Российской Федерации «Развитие культуры» / Государственная программа Челябинской области «Развитие культуры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области» / </w:t>
            </w:r>
          </w:p>
        </w:tc>
      </w:tr>
    </w:tbl>
    <w:p w:rsidR="009A0B88" w:rsidRDefault="00B81F97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Показатели муниципальной программы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3865"/>
        <w:gridCol w:w="1429"/>
        <w:gridCol w:w="1281"/>
        <w:gridCol w:w="9"/>
        <w:gridCol w:w="988"/>
        <w:gridCol w:w="6"/>
        <w:gridCol w:w="988"/>
        <w:gridCol w:w="6"/>
        <w:gridCol w:w="994"/>
        <w:gridCol w:w="1136"/>
        <w:gridCol w:w="1149"/>
        <w:gridCol w:w="998"/>
        <w:gridCol w:w="25"/>
        <w:gridCol w:w="2061"/>
      </w:tblGrid>
      <w:tr w:rsidR="009A0B88">
        <w:trPr>
          <w:trHeight w:val="305"/>
        </w:trPr>
        <w:tc>
          <w:tcPr>
            <w:tcW w:w="254" w:type="pct"/>
            <w:vMerge w:val="restar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28" w:type="pct"/>
            <w:vMerge w:val="restar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4" w:type="pct"/>
            <w:vMerge w:val="restar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0" w:type="pct"/>
            <w:gridSpan w:val="2"/>
            <w:vMerge w:val="restar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99" w:type="pct"/>
            <w:gridSpan w:val="9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55" w:type="pct"/>
            <w:vMerge w:val="restar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88">
        <w:trPr>
          <w:trHeight w:val="812"/>
        </w:trPr>
        <w:tc>
          <w:tcPr>
            <w:tcW w:w="254" w:type="pct"/>
            <w:vMerge/>
            <w:vAlign w:val="center"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pct"/>
            <w:vMerge/>
            <w:vAlign w:val="center"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Merge/>
            <w:vAlign w:val="center"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16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6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65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25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655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A0B88">
        <w:trPr>
          <w:trHeight w:val="274"/>
        </w:trPr>
        <w:tc>
          <w:tcPr>
            <w:tcW w:w="5000" w:type="pct"/>
            <w:gridSpan w:val="15"/>
          </w:tcPr>
          <w:p w:rsidR="009A0B88" w:rsidRDefault="00B81F9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«Обеспечение качественно нового уровня развития инфраструктуры культуры («Культурная среда»)»</w:t>
            </w:r>
          </w:p>
        </w:tc>
      </w:tr>
      <w:tr w:rsidR="009A0B88">
        <w:trPr>
          <w:trHeight w:val="258"/>
        </w:trPr>
        <w:tc>
          <w:tcPr>
            <w:tcW w:w="5000" w:type="pct"/>
            <w:gridSpan w:val="15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качества жизни и доступность культурных услуг для всех слоев населения</w:t>
            </w: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8" w:type="pct"/>
            <w:vAlign w:val="center"/>
          </w:tcPr>
          <w:p w:rsidR="009A0B88" w:rsidRDefault="00B81F97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454" w:type="pct"/>
            <w:vAlign w:val="center"/>
          </w:tcPr>
          <w:p w:rsidR="009A0B88" w:rsidRDefault="00B81F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10" w:type="pct"/>
            <w:gridSpan w:val="2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pct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1" w:type="pct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28" w:type="pct"/>
            <w:vAlign w:val="center"/>
          </w:tcPr>
          <w:p w:rsidR="009A0B88" w:rsidRDefault="00B81F97">
            <w:pPr>
              <w:spacing w:line="240" w:lineRule="atLeast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454" w:type="pct"/>
            <w:vAlign w:val="center"/>
          </w:tcPr>
          <w:p w:rsidR="009A0B88" w:rsidRDefault="00B81F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10" w:type="pct"/>
            <w:gridSpan w:val="2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" w:type="pct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1" w:type="pct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  <w:vAlign w:val="center"/>
          </w:tcPr>
          <w:p w:rsidR="009A0B88" w:rsidRDefault="00B81F9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9A0B88">
        <w:trPr>
          <w:trHeight w:val="258"/>
        </w:trPr>
        <w:tc>
          <w:tcPr>
            <w:tcW w:w="5000" w:type="pct"/>
            <w:gridSpan w:val="15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«Совершенствование библиотечного обслуживания населения округа в информационной, культурной и образовательной сферах. Формирование у населения устойчивого интереса к чтению»</w:t>
            </w: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28" w:type="pc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библиотечными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мами обслуживания</w:t>
            </w:r>
          </w:p>
        </w:tc>
        <w:tc>
          <w:tcPr>
            <w:tcW w:w="454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10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316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36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9A0B88">
        <w:trPr>
          <w:trHeight w:val="258"/>
        </w:trPr>
        <w:tc>
          <w:tcPr>
            <w:tcW w:w="5000" w:type="pct"/>
            <w:gridSpan w:val="15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 «Развитие культурно-досуговой деятельности»</w:t>
            </w: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228" w:type="pc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учреждениями культурно-досугового типа за год</w:t>
            </w:r>
          </w:p>
        </w:tc>
        <w:tc>
          <w:tcPr>
            <w:tcW w:w="454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0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970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970</w:t>
            </w:r>
          </w:p>
        </w:tc>
        <w:tc>
          <w:tcPr>
            <w:tcW w:w="316" w:type="pct"/>
            <w:vAlign w:val="center"/>
          </w:tcPr>
          <w:p w:rsidR="009A0B88" w:rsidRDefault="00B81F9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970</w:t>
            </w:r>
          </w:p>
        </w:tc>
        <w:tc>
          <w:tcPr>
            <w:tcW w:w="36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9A0B88">
        <w:trPr>
          <w:trHeight w:val="258"/>
        </w:trPr>
        <w:tc>
          <w:tcPr>
            <w:tcW w:w="5000" w:type="pct"/>
            <w:gridSpan w:val="15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 «Обеспечение безопасности и сохранности музейных фондов. Обеспечение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обслуживания населения  округа»</w:t>
            </w: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228" w:type="pc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публичным показом музейных предметов и музейных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лекций</w:t>
            </w:r>
          </w:p>
        </w:tc>
        <w:tc>
          <w:tcPr>
            <w:tcW w:w="454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07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317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318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36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9A0B88">
        <w:trPr>
          <w:trHeight w:val="258"/>
        </w:trPr>
        <w:tc>
          <w:tcPr>
            <w:tcW w:w="5000" w:type="pct"/>
            <w:gridSpan w:val="15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 «Обеспечение развития дополнительного образования детей»</w:t>
            </w: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228" w:type="pc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детей обучением в школах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полнительного образования за счет средств бюджета, (от числа детей в 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расте от 5 до 18 лет включительно)</w:t>
            </w:r>
          </w:p>
        </w:tc>
        <w:tc>
          <w:tcPr>
            <w:tcW w:w="454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06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17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18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6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9A0B88" w:rsidRDefault="00B81F97">
      <w:r>
        <w:br w:type="page" w:clear="all"/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3865"/>
        <w:gridCol w:w="1290"/>
        <w:gridCol w:w="148"/>
        <w:gridCol w:w="1271"/>
        <w:gridCol w:w="9"/>
        <w:gridCol w:w="994"/>
        <w:gridCol w:w="988"/>
        <w:gridCol w:w="6"/>
        <w:gridCol w:w="985"/>
        <w:gridCol w:w="16"/>
        <w:gridCol w:w="1120"/>
        <w:gridCol w:w="16"/>
        <w:gridCol w:w="1114"/>
        <w:gridCol w:w="22"/>
        <w:gridCol w:w="13"/>
        <w:gridCol w:w="960"/>
        <w:gridCol w:w="25"/>
        <w:gridCol w:w="13"/>
        <w:gridCol w:w="25"/>
        <w:gridCol w:w="2055"/>
      </w:tblGrid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" w:type="pct"/>
            <w:gridSpan w:val="3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" w:type="pct"/>
            <w:gridSpan w:val="4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3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A0B88">
        <w:trPr>
          <w:trHeight w:val="258"/>
        </w:trPr>
        <w:tc>
          <w:tcPr>
            <w:tcW w:w="5000" w:type="pct"/>
            <w:gridSpan w:val="21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 «Поддержка одаренных детей»</w:t>
            </w: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228" w:type="pc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учащихся школ дополнительного образования в конкурсах и фестивалях</w:t>
            </w:r>
          </w:p>
        </w:tc>
        <w:tc>
          <w:tcPr>
            <w:tcW w:w="41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51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70,0</w:t>
            </w:r>
          </w:p>
        </w:tc>
        <w:tc>
          <w:tcPr>
            <w:tcW w:w="319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70,0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70,0</w:t>
            </w:r>
          </w:p>
        </w:tc>
        <w:tc>
          <w:tcPr>
            <w:tcW w:w="318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70,0</w:t>
            </w:r>
          </w:p>
        </w:tc>
        <w:tc>
          <w:tcPr>
            <w:tcW w:w="361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gridSpan w:val="3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" w:type="pct"/>
            <w:gridSpan w:val="3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9A0B88">
        <w:trPr>
          <w:trHeight w:val="258"/>
        </w:trPr>
        <w:tc>
          <w:tcPr>
            <w:tcW w:w="5000" w:type="pct"/>
            <w:gridSpan w:val="21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7 «Обеспечение эффективного и качественного предоставления муниципальных услуг подведомственными учреждениями»</w:t>
            </w: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228" w:type="pc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учреждениями (с учетом допустимого (возможного) отклонения, при котором задание считается выполненным)</w:t>
            </w:r>
          </w:p>
        </w:tc>
        <w:tc>
          <w:tcPr>
            <w:tcW w:w="41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51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9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8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1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1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" w:type="pct"/>
            <w:gridSpan w:val="3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5" w:type="pct"/>
            <w:gridSpan w:val="3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9A0B88">
        <w:trPr>
          <w:trHeight w:val="258"/>
        </w:trPr>
        <w:tc>
          <w:tcPr>
            <w:tcW w:w="5000" w:type="pct"/>
            <w:gridSpan w:val="21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полной и достоверной информации о финансовой деятельности и имущественном положении  обслуживаемых учреждений, административно-хозяйственное обеспечение деятельности учреждений»</w:t>
            </w:r>
          </w:p>
        </w:tc>
      </w:tr>
      <w:tr w:rsidR="009A0B88">
        <w:trPr>
          <w:trHeight w:val="258"/>
        </w:trPr>
        <w:tc>
          <w:tcPr>
            <w:tcW w:w="254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228" w:type="pc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бюджетных средств</w:t>
            </w:r>
          </w:p>
        </w:tc>
        <w:tc>
          <w:tcPr>
            <w:tcW w:w="41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51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9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4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5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1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9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6" w:type="pct"/>
            <w:gridSpan w:val="3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3" w:type="pct"/>
            <w:gridSpan w:val="4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9A0B88" w:rsidRDefault="00B81F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9A0B88" w:rsidRDefault="00B81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План достижения показателей муниципальной программы в 2025 году</w:t>
      </w: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7"/>
        <w:gridCol w:w="6232"/>
        <w:gridCol w:w="1393"/>
        <w:gridCol w:w="589"/>
        <w:gridCol w:w="479"/>
        <w:gridCol w:w="507"/>
        <w:gridCol w:w="567"/>
        <w:gridCol w:w="567"/>
        <w:gridCol w:w="571"/>
        <w:gridCol w:w="574"/>
        <w:gridCol w:w="574"/>
        <w:gridCol w:w="571"/>
        <w:gridCol w:w="574"/>
        <w:gridCol w:w="564"/>
        <w:gridCol w:w="1141"/>
      </w:tblGrid>
      <w:tr w:rsidR="009A0B88">
        <w:trPr>
          <w:trHeight w:val="300"/>
          <w:tblHeader/>
        </w:trPr>
        <w:tc>
          <w:tcPr>
            <w:tcW w:w="272" w:type="pct"/>
            <w:vMerge w:val="restar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7" w:type="pct"/>
            <w:vMerge w:val="restar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442" w:type="pct"/>
            <w:vMerge w:val="restar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47" w:type="pct"/>
            <w:gridSpan w:val="11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кварталам / месяцам</w:t>
            </w:r>
          </w:p>
        </w:tc>
        <w:tc>
          <w:tcPr>
            <w:tcW w:w="362" w:type="pct"/>
            <w:vMerge w:val="restart"/>
            <w:vAlign w:val="center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9A0B88">
        <w:trPr>
          <w:trHeight w:val="177"/>
          <w:tblHeader/>
        </w:trPr>
        <w:tc>
          <w:tcPr>
            <w:tcW w:w="272" w:type="pct"/>
            <w:vMerge/>
            <w:vAlign w:val="center"/>
          </w:tcPr>
          <w:p w:rsidR="009A0B88" w:rsidRDefault="009A0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pct"/>
            <w:vMerge/>
            <w:vAlign w:val="center"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vAlign w:val="center"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8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" w:type="pct"/>
            <w:vMerge/>
            <w:vAlign w:val="center"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88">
        <w:trPr>
          <w:trHeight w:val="164"/>
          <w:tblHeader/>
        </w:trPr>
        <w:tc>
          <w:tcPr>
            <w:tcW w:w="27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0B88">
        <w:trPr>
          <w:trHeight w:hRule="exact" w:val="340"/>
        </w:trPr>
        <w:tc>
          <w:tcPr>
            <w:tcW w:w="272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pct"/>
            <w:gridSpan w:val="14"/>
          </w:tcPr>
          <w:p w:rsidR="009A0B88" w:rsidRDefault="00B81F97">
            <w:pPr>
              <w:spacing w:line="240" w:lineRule="atLeast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 муниципальной программы</w:t>
            </w:r>
          </w:p>
        </w:tc>
      </w:tr>
      <w:tr w:rsidR="009A0B88">
        <w:trPr>
          <w:trHeight w:hRule="exact" w:val="284"/>
        </w:trPr>
        <w:tc>
          <w:tcPr>
            <w:tcW w:w="272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28" w:type="pct"/>
            <w:gridSpan w:val="14"/>
          </w:tcPr>
          <w:p w:rsidR="009A0B88" w:rsidRDefault="00B81F97">
            <w:pPr>
              <w:ind w:firstLine="1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«Обеспечение качественно нового уровня развития инфраструктуры культуры («Культурная среда»)»</w:t>
            </w:r>
          </w:p>
        </w:tc>
      </w:tr>
      <w:tr w:rsidR="009A0B88">
        <w:trPr>
          <w:trHeight w:val="102"/>
        </w:trPr>
        <w:tc>
          <w:tcPr>
            <w:tcW w:w="272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977" w:type="pct"/>
            <w:vAlign w:val="center"/>
          </w:tcPr>
          <w:p w:rsidR="009A0B88" w:rsidRDefault="00B81F97">
            <w:pPr>
              <w:spacing w:line="240" w:lineRule="atLeast"/>
              <w:ind w:left="13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442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7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vAlign w:val="center"/>
          </w:tcPr>
          <w:p w:rsidR="009A0B88" w:rsidRDefault="00B81F97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B88">
        <w:trPr>
          <w:trHeight w:val="208"/>
        </w:trPr>
        <w:tc>
          <w:tcPr>
            <w:tcW w:w="27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pct"/>
            <w:gridSpan w:val="14"/>
            <w:vAlign w:val="center"/>
          </w:tcPr>
          <w:p w:rsidR="009A0B88" w:rsidRDefault="00B81F97">
            <w:pPr>
              <w:spacing w:after="0" w:line="240" w:lineRule="auto"/>
              <w:ind w:firstLine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9A0B88">
        <w:trPr>
          <w:trHeight w:val="69"/>
        </w:trPr>
        <w:tc>
          <w:tcPr>
            <w:tcW w:w="27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28" w:type="pct"/>
            <w:gridSpan w:val="14"/>
            <w:vAlign w:val="center"/>
          </w:tcPr>
          <w:p w:rsidR="009A0B88" w:rsidRDefault="00B81F97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«Библиотечное обслуживание. Создание единого информационного пространства»</w:t>
            </w:r>
          </w:p>
        </w:tc>
      </w:tr>
      <w:tr w:rsidR="009A0B88">
        <w:trPr>
          <w:trHeight w:val="69"/>
        </w:trPr>
        <w:tc>
          <w:tcPr>
            <w:tcW w:w="27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977" w:type="pct"/>
            <w:vAlign w:val="center"/>
          </w:tcPr>
          <w:p w:rsidR="009A0B88" w:rsidRDefault="00B81F97">
            <w:pPr>
              <w:spacing w:after="0" w:line="240" w:lineRule="auto"/>
              <w:ind w:left="13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библиотечными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мами обслуживания</w:t>
            </w:r>
          </w:p>
        </w:tc>
        <w:tc>
          <w:tcPr>
            <w:tcW w:w="442" w:type="pct"/>
            <w:vAlign w:val="center"/>
          </w:tcPr>
          <w:p w:rsidR="009A0B88" w:rsidRDefault="00B81F97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</w:tr>
      <w:tr w:rsidR="009A0B88">
        <w:trPr>
          <w:trHeight w:val="35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firstLine="1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«Развитие народного художественного творчества»</w:t>
            </w:r>
          </w:p>
        </w:tc>
      </w:tr>
      <w:tr w:rsidR="009A0B88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13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учреждениями культурно-досугового типа за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970</w:t>
            </w:r>
          </w:p>
        </w:tc>
      </w:tr>
      <w:tr w:rsidR="009A0B88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«Музейное обслуживание населения»</w:t>
            </w:r>
          </w:p>
        </w:tc>
      </w:tr>
      <w:tr w:rsidR="009A0B88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13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публичным показом музейных предметов и музейных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лекций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9A0B88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«Дополнительное образование. Поддержка одаренных учащихся»</w:t>
            </w:r>
          </w:p>
        </w:tc>
      </w:tr>
      <w:tr w:rsidR="009A0B88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13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детей обучением в школах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полнительного образования за счет средств бюджета (от числа детей в 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расте от 5 до 18 лет включительно)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9A0B88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13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учащихся школ дополнительного образования в конкурсах и фестивалях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</w:t>
            </w:r>
          </w:p>
        </w:tc>
      </w:tr>
      <w:tr w:rsidR="009A0B88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7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учреждений»</w:t>
            </w:r>
          </w:p>
        </w:tc>
      </w:tr>
      <w:tr w:rsidR="009A0B88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13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учреждениями (с учетом допустимого (возможного) отклонения, при котором задание считается выполненным)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0B88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2.5.2.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13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бюджетных средств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B88" w:rsidRDefault="00B81F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B88" w:rsidRDefault="00B81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Структура муниципальной программы</w:t>
      </w:r>
    </w:p>
    <w:tbl>
      <w:tblPr>
        <w:tblW w:w="15735" w:type="dxa"/>
        <w:jc w:val="center"/>
        <w:tblLook w:val="01E0" w:firstRow="1" w:lastRow="1" w:firstColumn="1" w:lastColumn="1" w:noHBand="0" w:noVBand="0"/>
      </w:tblPr>
      <w:tblGrid>
        <w:gridCol w:w="857"/>
        <w:gridCol w:w="7189"/>
        <w:gridCol w:w="3828"/>
        <w:gridCol w:w="175"/>
        <w:gridCol w:w="3686"/>
      </w:tblGrid>
      <w:tr w:rsidR="009A0B88">
        <w:trPr>
          <w:trHeight w:val="4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9A0B88">
        <w:trPr>
          <w:trHeight w:val="27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B88">
        <w:trPr>
          <w:trHeight w:val="343"/>
          <w:jc w:val="center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качественно нового уровня развития инфраструктуры культуры («Культурная среда»)»</w:t>
            </w:r>
          </w:p>
          <w:p w:rsidR="009A0B88" w:rsidRDefault="00B81F9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(куратор -  заместитель Главы городского округа по социальному развитию)</w:t>
            </w:r>
          </w:p>
        </w:tc>
      </w:tr>
      <w:tr w:rsidR="009A0B88">
        <w:trPr>
          <w:trHeight w:val="170"/>
          <w:jc w:val="center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начальник управления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01.01.2025 - 31.12.2030</w:t>
            </w:r>
          </w:p>
        </w:tc>
      </w:tr>
      <w:tr w:rsidR="009A0B88">
        <w:trPr>
          <w:trHeight w:val="85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Задача 1 Повышение качества жизни и доступность культурных услуг для всех слоев населения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 региональных и муниципальных музеев</w:t>
            </w:r>
          </w:p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учреждений культурно-досуго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типа в населенных пунктах с численностью до 500 тыс. человек (реконструкция и капитальный ремонт)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организаций культуры, получивших современное оборудование</w:t>
            </w:r>
          </w:p>
          <w:p w:rsidR="009A0B88" w:rsidRDefault="00B81F9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созданных (реконструированных) и капитально отремонтированных объектов органи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заций культуры</w:t>
            </w:r>
          </w:p>
        </w:tc>
      </w:tr>
      <w:tr w:rsidR="009A0B88">
        <w:trPr>
          <w:trHeight w:val="415"/>
          <w:jc w:val="center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Комплекс процессных мероприятий «Библиотечное обслуживание. Создание единого информационного пространства»</w:t>
            </w:r>
          </w:p>
        </w:tc>
      </w:tr>
      <w:tr w:rsidR="009A0B88">
        <w:trPr>
          <w:trHeight w:val="295"/>
          <w:jc w:val="center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начальник управления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01.01.2025 - 31.12.2030</w:t>
            </w:r>
          </w:p>
        </w:tc>
      </w:tr>
      <w:tr w:rsidR="009A0B88">
        <w:trPr>
          <w:trHeight w:val="17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«Совершенствование библиотечного обслуживания населения округа в информационной, культурной и образовательной сферах. Формирование у населения устойчивого интереса к чтению»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библиотечной сети, повышения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овня комплектования библиотек, востребованности библиотек у населения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библиотечными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мами обслуживания</w:t>
            </w:r>
          </w:p>
        </w:tc>
      </w:tr>
      <w:tr w:rsidR="009A0B88">
        <w:trPr>
          <w:trHeight w:val="439"/>
          <w:jc w:val="center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Комплекс процессных мероприятий «Развитие народного художественного творчества»</w:t>
            </w:r>
          </w:p>
        </w:tc>
      </w:tr>
      <w:tr w:rsidR="009A0B88">
        <w:trPr>
          <w:trHeight w:val="295"/>
          <w:jc w:val="center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управления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01.01.2025 - 31.12.2030</w:t>
            </w:r>
          </w:p>
        </w:tc>
      </w:tr>
    </w:tbl>
    <w:p w:rsidR="009A0B88" w:rsidRDefault="00B81F97">
      <w:r>
        <w:br w:type="page" w:clear="all"/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7"/>
        <w:gridCol w:w="7189"/>
        <w:gridCol w:w="4003"/>
        <w:gridCol w:w="3686"/>
      </w:tblGrid>
      <w:tr w:rsidR="009A0B88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B88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 для сохранения нематериального культурного наследия народов, населяющих округ. Организация досуга населения. Предоставление равных возможностей для творческой самореализации личности»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сохранения нематериального 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урного наследия  народов, населяющих городской округ, организация досуга населения, предоставление равных возможностей для творческой самореализации личности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учреждениями культурно-досугового типа за год</w:t>
            </w:r>
          </w:p>
        </w:tc>
      </w:tr>
      <w:tr w:rsidR="009A0B88">
        <w:trPr>
          <w:trHeight w:val="439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 Комплекс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роцессных мероприятий «Музейное обслуживание населения»</w:t>
            </w:r>
          </w:p>
        </w:tc>
      </w:tr>
      <w:tr w:rsidR="009A0B88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начальник управления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01.01.2025 - 31.12.2030</w:t>
            </w:r>
          </w:p>
        </w:tc>
      </w:tr>
      <w:tr w:rsidR="009A0B88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безопасности и сохранности музейных фондов. Обеспечение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обслуживания населения  округа»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сохранения и эффективного использования исторического и культурного наследия городского округа, повышение доступности и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музейного продукта для населения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публичным показом музейных предметов и музейных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лекций</w:t>
            </w:r>
          </w:p>
        </w:tc>
      </w:tr>
      <w:tr w:rsidR="009A0B88">
        <w:trPr>
          <w:trHeight w:val="439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 Комплекс процессных мероприятий «Дополнительное образование. Поддержка одаренных учащихся»</w:t>
            </w:r>
          </w:p>
        </w:tc>
      </w:tr>
      <w:tr w:rsidR="009A0B88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управления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01.01.2025 - 31.12.2030</w:t>
            </w:r>
          </w:p>
        </w:tc>
      </w:tr>
      <w:tr w:rsidR="009A0B88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 «Обеспечение развития дополнительного образования детей»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сохранения национальной школы подготовки творческих кадров, обеспечение социальной доступности дополнительного образования детей, модернизация деятельности учреждений дополнительного образования  и образовательных технологий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дете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обучением в школах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полнительного образования за счет средств бюджета (от числа детей в 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расте от 5 до 18 лет включительно)</w:t>
            </w:r>
          </w:p>
        </w:tc>
      </w:tr>
    </w:tbl>
    <w:p w:rsidR="009A0B88" w:rsidRDefault="00B81F97">
      <w:r>
        <w:br w:type="page" w:clear="all"/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7"/>
        <w:gridCol w:w="7189"/>
        <w:gridCol w:w="4003"/>
        <w:gridCol w:w="3686"/>
      </w:tblGrid>
      <w:tr w:rsidR="009A0B88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B88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1.5.2.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 «Поддержка одаренных детей»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стимулирования творческой деятельности и оказания поддержки одаренным детям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учащихся школ дополнительного образования в конкурсах и фестивалях</w:t>
            </w:r>
          </w:p>
        </w:tc>
      </w:tr>
      <w:tr w:rsidR="009A0B88">
        <w:trPr>
          <w:trHeight w:val="439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Комплекс процессных мероприятий «Обеспечение деятельности учреждений»</w:t>
            </w:r>
          </w:p>
        </w:tc>
      </w:tr>
      <w:tr w:rsidR="009A0B88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начальник управления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01.01.2025 - 31.12.2030</w:t>
            </w:r>
          </w:p>
        </w:tc>
      </w:tr>
      <w:tr w:rsidR="009A0B88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7 «Обеспечение эффективного и качественного предост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авления муниципальных услуг подведомственными учреждениями»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культурной и финансовой политики в области библиотечного обслуживания, культурно-досуговой и музейной деятельности и дополнительного образования на территории городского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учреждениями (с учетом допустимого (возможного) отклонения, при котором задание считается выполненным)</w:t>
            </w:r>
          </w:p>
        </w:tc>
      </w:tr>
      <w:tr w:rsidR="009A0B88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8 «Формирование полной и достоверной информации о финансовой деятельности и имущественном положении  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луживаемых учреждений, административно-хозяйственное обеспечение деятельности учреждений»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финансовое  и административно-хозяйственное обеспечение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88" w:rsidRDefault="00B81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бюджетных средств</w:t>
            </w:r>
          </w:p>
        </w:tc>
      </w:tr>
    </w:tbl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B88" w:rsidRDefault="00B81F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9A0B88" w:rsidRDefault="00B81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Финансовое обеспечение муниципальной программы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0"/>
        <w:gridCol w:w="2106"/>
        <w:gridCol w:w="1306"/>
        <w:gridCol w:w="1416"/>
        <w:gridCol w:w="9"/>
        <w:gridCol w:w="1426"/>
        <w:gridCol w:w="1127"/>
        <w:gridCol w:w="6"/>
        <w:gridCol w:w="1271"/>
        <w:gridCol w:w="9"/>
        <w:gridCol w:w="1139"/>
        <w:gridCol w:w="1970"/>
      </w:tblGrid>
      <w:tr w:rsidR="009A0B88">
        <w:trPr>
          <w:trHeight w:val="193"/>
        </w:trPr>
        <w:tc>
          <w:tcPr>
            <w:tcW w:w="1255" w:type="pct"/>
            <w:vMerge w:val="restar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чник финансового обеспечения</w:t>
            </w:r>
          </w:p>
        </w:tc>
        <w:tc>
          <w:tcPr>
            <w:tcW w:w="669" w:type="pct"/>
            <w:vMerge w:val="restar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 / соисполнитель  </w:t>
            </w:r>
          </w:p>
        </w:tc>
        <w:tc>
          <w:tcPr>
            <w:tcW w:w="3076" w:type="pct"/>
            <w:gridSpan w:val="10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9A0B88">
        <w:trPr>
          <w:trHeight w:val="193"/>
        </w:trPr>
        <w:tc>
          <w:tcPr>
            <w:tcW w:w="1255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5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5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60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07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6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626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6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  <w:vMerge w:val="restar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804 764,08</w:t>
            </w:r>
          </w:p>
        </w:tc>
        <w:tc>
          <w:tcPr>
            <w:tcW w:w="450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550 184,24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436 792,36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1 791 740,58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450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239 290,04</w:t>
            </w:r>
          </w:p>
        </w:tc>
        <w:tc>
          <w:tcPr>
            <w:tcW w:w="450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61 429,04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17 640,60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318 359,68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530 474,04</w:t>
            </w:r>
          </w:p>
        </w:tc>
        <w:tc>
          <w:tcPr>
            <w:tcW w:w="450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453 755,20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419 151,76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1 403 381,00</w:t>
            </w:r>
          </w:p>
        </w:tc>
      </w:tr>
      <w:tr w:rsidR="009A0B88">
        <w:trPr>
          <w:trHeight w:val="113"/>
        </w:trPr>
        <w:tc>
          <w:tcPr>
            <w:tcW w:w="5000" w:type="pct"/>
            <w:gridSpan w:val="12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Проект «Обеспечение качественно нового уровня развития инфраструктуры культуры («Культурная среда»)»</w:t>
            </w:r>
          </w:p>
        </w:tc>
      </w:tr>
      <w:tr w:rsidR="009A0B88">
        <w:trPr>
          <w:trHeight w:val="206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669" w:type="pct"/>
            <w:vMerge w:val="restar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415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99 106,33</w:t>
            </w:r>
          </w:p>
        </w:tc>
        <w:tc>
          <w:tcPr>
            <w:tcW w:w="450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96 260,30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195 366,63</w:t>
            </w:r>
          </w:p>
        </w:tc>
      </w:tr>
      <w:tr w:rsidR="009A0B88">
        <w:trPr>
          <w:trHeight w:val="317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35 0000,00</w:t>
            </w:r>
          </w:p>
        </w:tc>
        <w:tc>
          <w:tcPr>
            <w:tcW w:w="450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9A0B88">
        <w:trPr>
          <w:trHeight w:val="317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62 289,92</w:t>
            </w:r>
          </w:p>
        </w:tc>
        <w:tc>
          <w:tcPr>
            <w:tcW w:w="450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60 297,70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122 587,62</w:t>
            </w:r>
          </w:p>
        </w:tc>
      </w:tr>
      <w:tr w:rsidR="009A0B88">
        <w:trPr>
          <w:trHeight w:val="318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1 816,41</w:t>
            </w:r>
          </w:p>
        </w:tc>
        <w:tc>
          <w:tcPr>
            <w:tcW w:w="450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962,60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2 779,01</w:t>
            </w:r>
          </w:p>
        </w:tc>
      </w:tr>
      <w:tr w:rsidR="009A0B88">
        <w:trPr>
          <w:trHeight w:val="193"/>
        </w:trPr>
        <w:tc>
          <w:tcPr>
            <w:tcW w:w="5000" w:type="pct"/>
            <w:gridSpan w:val="12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Комплекс процессных мероприятий «Библиотечное обслуживание. Создание единого информационного пространства»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669" w:type="pct"/>
            <w:vMerge w:val="restar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79 683,02</w:t>
            </w:r>
          </w:p>
        </w:tc>
        <w:tc>
          <w:tcPr>
            <w:tcW w:w="450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83 062,80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68 739,10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231 484,92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4 162,76</w:t>
            </w:r>
          </w:p>
        </w:tc>
        <w:tc>
          <w:tcPr>
            <w:tcW w:w="450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5 509,36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75 520,26</w:t>
            </w:r>
          </w:p>
        </w:tc>
        <w:tc>
          <w:tcPr>
            <w:tcW w:w="450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82 389,50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68 065,80</w:t>
            </w:r>
          </w:p>
        </w:tc>
        <w:tc>
          <w:tcPr>
            <w:tcW w:w="360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7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225 975,56</w:t>
            </w:r>
          </w:p>
        </w:tc>
      </w:tr>
      <w:tr w:rsidR="009A0B88">
        <w:trPr>
          <w:trHeight w:val="113"/>
        </w:trPr>
        <w:tc>
          <w:tcPr>
            <w:tcW w:w="5000" w:type="pct"/>
            <w:gridSpan w:val="12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Комплекс процессных мероприятий «Развитие народного художественного творчества»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669" w:type="pct"/>
            <w:vMerge w:val="restar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372 524,93</w:t>
            </w:r>
          </w:p>
        </w:tc>
        <w:tc>
          <w:tcPr>
            <w:tcW w:w="450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167 953,14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146 472,64</w:t>
            </w:r>
          </w:p>
        </w:tc>
        <w:tc>
          <w:tcPr>
            <w:tcW w:w="358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686 950,71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172 837,36</w:t>
            </w:r>
          </w:p>
        </w:tc>
        <w:tc>
          <w:tcPr>
            <w:tcW w:w="450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458,04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458,04</w:t>
            </w:r>
          </w:p>
        </w:tc>
        <w:tc>
          <w:tcPr>
            <w:tcW w:w="358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173 753,44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199 687,57</w:t>
            </w:r>
          </w:p>
        </w:tc>
        <w:tc>
          <w:tcPr>
            <w:tcW w:w="450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167 495,10</w:t>
            </w:r>
          </w:p>
        </w:tc>
        <w:tc>
          <w:tcPr>
            <w:tcW w:w="45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146 014,60</w:t>
            </w:r>
          </w:p>
        </w:tc>
        <w:tc>
          <w:tcPr>
            <w:tcW w:w="358" w:type="pct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513 197,27</w:t>
            </w:r>
          </w:p>
        </w:tc>
      </w:tr>
      <w:tr w:rsidR="009A0B88">
        <w:trPr>
          <w:trHeight w:val="193"/>
        </w:trPr>
        <w:tc>
          <w:tcPr>
            <w:tcW w:w="5000" w:type="pct"/>
            <w:gridSpan w:val="12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 Комплекс процессных мероприятий «Музейное обслуживание населения»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669" w:type="pct"/>
            <w:vMerge w:val="restar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60 728,90</w:t>
            </w:r>
          </w:p>
        </w:tc>
        <w:tc>
          <w:tcPr>
            <w:tcW w:w="453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18 683,80</w:t>
            </w:r>
          </w:p>
        </w:tc>
        <w:tc>
          <w:tcPr>
            <w:tcW w:w="453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18 615,70</w:t>
            </w:r>
          </w:p>
        </w:tc>
        <w:tc>
          <w:tcPr>
            <w:tcW w:w="35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98 028,40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3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3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60 728,90</w:t>
            </w:r>
          </w:p>
        </w:tc>
        <w:tc>
          <w:tcPr>
            <w:tcW w:w="453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18 683,80</w:t>
            </w:r>
          </w:p>
        </w:tc>
        <w:tc>
          <w:tcPr>
            <w:tcW w:w="453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18 615,70</w:t>
            </w:r>
          </w:p>
        </w:tc>
        <w:tc>
          <w:tcPr>
            <w:tcW w:w="35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98 028,40</w:t>
            </w:r>
          </w:p>
        </w:tc>
      </w:tr>
      <w:tr w:rsidR="009A0B88">
        <w:trPr>
          <w:trHeight w:val="193"/>
        </w:trPr>
        <w:tc>
          <w:tcPr>
            <w:tcW w:w="5000" w:type="pct"/>
            <w:gridSpan w:val="12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 Комплекс процессных мероприятий «Дополнительное образование. Поддержка одаренных учащихся»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669" w:type="pct"/>
            <w:vMerge w:val="restar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121 708,60</w:t>
            </w:r>
          </w:p>
        </w:tc>
        <w:tc>
          <w:tcPr>
            <w:tcW w:w="453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113 929,60</w:t>
            </w:r>
          </w:p>
        </w:tc>
        <w:tc>
          <w:tcPr>
            <w:tcW w:w="453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132 633,52</w:t>
            </w:r>
          </w:p>
        </w:tc>
        <w:tc>
          <w:tcPr>
            <w:tcW w:w="35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368 271,72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3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3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16 509,26</w:t>
            </w:r>
          </w:p>
        </w:tc>
        <w:tc>
          <w:tcPr>
            <w:tcW w:w="35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16 509,26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121 708,60</w:t>
            </w:r>
          </w:p>
        </w:tc>
        <w:tc>
          <w:tcPr>
            <w:tcW w:w="453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113 929,60</w:t>
            </w:r>
          </w:p>
        </w:tc>
        <w:tc>
          <w:tcPr>
            <w:tcW w:w="453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132 633,52</w:t>
            </w:r>
          </w:p>
        </w:tc>
        <w:tc>
          <w:tcPr>
            <w:tcW w:w="35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368 271,72</w:t>
            </w:r>
          </w:p>
        </w:tc>
      </w:tr>
    </w:tbl>
    <w:p w:rsidR="009A0B88" w:rsidRDefault="00B81F97">
      <w:r>
        <w:br w:type="page" w:clear="all"/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0"/>
        <w:gridCol w:w="2106"/>
        <w:gridCol w:w="1306"/>
        <w:gridCol w:w="1416"/>
        <w:gridCol w:w="9"/>
        <w:gridCol w:w="1426"/>
        <w:gridCol w:w="1127"/>
        <w:gridCol w:w="6"/>
        <w:gridCol w:w="1271"/>
        <w:gridCol w:w="9"/>
        <w:gridCol w:w="1139"/>
        <w:gridCol w:w="1970"/>
      </w:tblGrid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9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" w:type="pct"/>
            <w:gridSpan w:val="2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6" w:type="pct"/>
            <w:vAlign w:val="center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0B88">
        <w:trPr>
          <w:trHeight w:val="193"/>
        </w:trPr>
        <w:tc>
          <w:tcPr>
            <w:tcW w:w="5000" w:type="pct"/>
            <w:gridSpan w:val="12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 Комплекс процессных мероприятий «Обеспечение деятельности учреждений»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669" w:type="pct"/>
            <w:vMerge w:val="restar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71 012,30</w:t>
            </w:r>
          </w:p>
        </w:tc>
        <w:tc>
          <w:tcPr>
            <w:tcW w:w="453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70 294,60</w:t>
            </w:r>
          </w:p>
        </w:tc>
        <w:tc>
          <w:tcPr>
            <w:tcW w:w="45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70 331,40</w:t>
            </w:r>
          </w:p>
        </w:tc>
        <w:tc>
          <w:tcPr>
            <w:tcW w:w="35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211 638,30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3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0B88">
        <w:trPr>
          <w:trHeight w:val="193"/>
        </w:trPr>
        <w:tc>
          <w:tcPr>
            <w:tcW w:w="1255" w:type="pct"/>
          </w:tcPr>
          <w:p w:rsidR="009A0B88" w:rsidRDefault="00B81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669" w:type="pct"/>
            <w:vMerge/>
          </w:tcPr>
          <w:p w:rsidR="009A0B88" w:rsidRDefault="009A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71 012,30</w:t>
            </w:r>
          </w:p>
        </w:tc>
        <w:tc>
          <w:tcPr>
            <w:tcW w:w="453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70 294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,60</w:t>
            </w:r>
          </w:p>
        </w:tc>
        <w:tc>
          <w:tcPr>
            <w:tcW w:w="452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70 331,40</w:t>
            </w:r>
          </w:p>
        </w:tc>
        <w:tc>
          <w:tcPr>
            <w:tcW w:w="358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6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5" w:type="pct"/>
            <w:gridSpan w:val="2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</w:tcPr>
          <w:p w:rsidR="009A0B88" w:rsidRDefault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211 638,30</w:t>
            </w:r>
          </w:p>
        </w:tc>
      </w:tr>
    </w:tbl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B88" w:rsidRDefault="009A0B88">
      <w:pPr>
        <w:ind w:left="1020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9A0B8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B88" w:rsidRDefault="00B81F97">
      <w:pPr>
        <w:spacing w:after="0" w:line="240" w:lineRule="auto"/>
      </w:pPr>
      <w:r>
        <w:separator/>
      </w:r>
    </w:p>
  </w:endnote>
  <w:endnote w:type="continuationSeparator" w:id="0">
    <w:p w:rsidR="009A0B88" w:rsidRDefault="00B8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B88" w:rsidRDefault="00B81F97">
      <w:pPr>
        <w:spacing w:after="0" w:line="240" w:lineRule="auto"/>
      </w:pPr>
      <w:r>
        <w:separator/>
      </w:r>
    </w:p>
  </w:footnote>
  <w:footnote w:type="continuationSeparator" w:id="0">
    <w:p w:rsidR="009A0B88" w:rsidRDefault="00B81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54188"/>
      <w:docPartObj>
        <w:docPartGallery w:val="Page Numbers (Top of Page)"/>
        <w:docPartUnique/>
      </w:docPartObj>
    </w:sdtPr>
    <w:sdtEndPr/>
    <w:sdtContent>
      <w:p w:rsidR="009A0B88" w:rsidRDefault="00B81F9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9A0B88" w:rsidRDefault="009A0B8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E9B"/>
    <w:multiLevelType w:val="hybridMultilevel"/>
    <w:tmpl w:val="CED69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42AFE"/>
    <w:multiLevelType w:val="hybridMultilevel"/>
    <w:tmpl w:val="36B2B578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937AEB"/>
    <w:multiLevelType w:val="hybridMultilevel"/>
    <w:tmpl w:val="A3580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27CA9"/>
    <w:multiLevelType w:val="hybridMultilevel"/>
    <w:tmpl w:val="7E2274E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711B14"/>
    <w:multiLevelType w:val="hybridMultilevel"/>
    <w:tmpl w:val="E5E8B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94A99"/>
    <w:multiLevelType w:val="hybridMultilevel"/>
    <w:tmpl w:val="2B8E3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873F4"/>
    <w:multiLevelType w:val="hybridMultilevel"/>
    <w:tmpl w:val="3636263A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0F7DED"/>
    <w:multiLevelType w:val="hybridMultilevel"/>
    <w:tmpl w:val="A462EE56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372CD5"/>
    <w:multiLevelType w:val="hybridMultilevel"/>
    <w:tmpl w:val="5270F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E1F29"/>
    <w:multiLevelType w:val="hybridMultilevel"/>
    <w:tmpl w:val="4CDAC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9409F"/>
    <w:multiLevelType w:val="hybridMultilevel"/>
    <w:tmpl w:val="C4325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427FE"/>
    <w:multiLevelType w:val="multilevel"/>
    <w:tmpl w:val="ADBC8A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16A1E3C"/>
    <w:multiLevelType w:val="multilevel"/>
    <w:tmpl w:val="9184E8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33F6E0A"/>
    <w:multiLevelType w:val="hybridMultilevel"/>
    <w:tmpl w:val="A72A9D2E"/>
    <w:lvl w:ilvl="0" w:tplc="45FAE0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16DA2"/>
    <w:multiLevelType w:val="hybridMultilevel"/>
    <w:tmpl w:val="7908B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B7D33"/>
    <w:multiLevelType w:val="hybridMultilevel"/>
    <w:tmpl w:val="C4AEE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32593A"/>
    <w:multiLevelType w:val="hybridMultilevel"/>
    <w:tmpl w:val="7C1CB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A01CC"/>
    <w:multiLevelType w:val="multilevel"/>
    <w:tmpl w:val="BB1A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506761B"/>
    <w:multiLevelType w:val="multilevel"/>
    <w:tmpl w:val="DB46C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58919A7"/>
    <w:multiLevelType w:val="hybridMultilevel"/>
    <w:tmpl w:val="9B50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C07864"/>
    <w:multiLevelType w:val="hybridMultilevel"/>
    <w:tmpl w:val="B4C0D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11CBC"/>
    <w:multiLevelType w:val="hybridMultilevel"/>
    <w:tmpl w:val="41FE3FEA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5E1E95"/>
    <w:multiLevelType w:val="hybridMultilevel"/>
    <w:tmpl w:val="D234C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A7387E"/>
    <w:multiLevelType w:val="hybridMultilevel"/>
    <w:tmpl w:val="D8721982"/>
    <w:lvl w:ilvl="0" w:tplc="07049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775591"/>
    <w:multiLevelType w:val="multilevel"/>
    <w:tmpl w:val="43E2A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47861F72"/>
    <w:multiLevelType w:val="hybridMultilevel"/>
    <w:tmpl w:val="31E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7446A6"/>
    <w:multiLevelType w:val="multilevel"/>
    <w:tmpl w:val="02BE7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9BF63AD"/>
    <w:multiLevelType w:val="hybridMultilevel"/>
    <w:tmpl w:val="42228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252CB2"/>
    <w:multiLevelType w:val="hybridMultilevel"/>
    <w:tmpl w:val="C2FE0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D707F"/>
    <w:multiLevelType w:val="multilevel"/>
    <w:tmpl w:val="716CA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35704AD"/>
    <w:multiLevelType w:val="hybridMultilevel"/>
    <w:tmpl w:val="29F87F28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BA27BA"/>
    <w:multiLevelType w:val="multilevel"/>
    <w:tmpl w:val="3C364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98D3397"/>
    <w:multiLevelType w:val="hybridMultilevel"/>
    <w:tmpl w:val="A5984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AF1239"/>
    <w:multiLevelType w:val="hybridMultilevel"/>
    <w:tmpl w:val="868AEF32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0461ECF"/>
    <w:multiLevelType w:val="hybridMultilevel"/>
    <w:tmpl w:val="32E60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ED5550"/>
    <w:multiLevelType w:val="multilevel"/>
    <w:tmpl w:val="844E08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6052DC8"/>
    <w:multiLevelType w:val="hybridMultilevel"/>
    <w:tmpl w:val="09D0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A266A"/>
    <w:multiLevelType w:val="hybridMultilevel"/>
    <w:tmpl w:val="C2D87D2C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174C16"/>
    <w:multiLevelType w:val="hybridMultilevel"/>
    <w:tmpl w:val="43EC12D4"/>
    <w:lvl w:ilvl="0" w:tplc="4CCA6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E05EE4"/>
    <w:multiLevelType w:val="hybridMultilevel"/>
    <w:tmpl w:val="45B25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0E4E38"/>
    <w:multiLevelType w:val="hybridMultilevel"/>
    <w:tmpl w:val="02C6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221D3D"/>
    <w:multiLevelType w:val="hybridMultilevel"/>
    <w:tmpl w:val="CACC7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A42581"/>
    <w:multiLevelType w:val="hybridMultilevel"/>
    <w:tmpl w:val="1C740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53649F"/>
    <w:multiLevelType w:val="hybridMultilevel"/>
    <w:tmpl w:val="EBE67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A3384B"/>
    <w:multiLevelType w:val="multilevel"/>
    <w:tmpl w:val="B602E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7DEE6410"/>
    <w:multiLevelType w:val="hybridMultilevel"/>
    <w:tmpl w:val="FF5AE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3"/>
  </w:num>
  <w:num w:numId="4">
    <w:abstractNumId w:val="44"/>
  </w:num>
  <w:num w:numId="5">
    <w:abstractNumId w:val="35"/>
  </w:num>
  <w:num w:numId="6">
    <w:abstractNumId w:val="11"/>
  </w:num>
  <w:num w:numId="7">
    <w:abstractNumId w:val="12"/>
  </w:num>
  <w:num w:numId="8">
    <w:abstractNumId w:val="31"/>
  </w:num>
  <w:num w:numId="9">
    <w:abstractNumId w:val="38"/>
  </w:num>
  <w:num w:numId="10">
    <w:abstractNumId w:val="21"/>
  </w:num>
  <w:num w:numId="11">
    <w:abstractNumId w:val="7"/>
  </w:num>
  <w:num w:numId="12">
    <w:abstractNumId w:val="1"/>
  </w:num>
  <w:num w:numId="13">
    <w:abstractNumId w:val="6"/>
  </w:num>
  <w:num w:numId="14">
    <w:abstractNumId w:val="22"/>
  </w:num>
  <w:num w:numId="15">
    <w:abstractNumId w:val="25"/>
  </w:num>
  <w:num w:numId="16">
    <w:abstractNumId w:val="0"/>
  </w:num>
  <w:num w:numId="17">
    <w:abstractNumId w:val="5"/>
  </w:num>
  <w:num w:numId="18">
    <w:abstractNumId w:val="37"/>
  </w:num>
  <w:num w:numId="19">
    <w:abstractNumId w:val="41"/>
  </w:num>
  <w:num w:numId="20">
    <w:abstractNumId w:val="16"/>
  </w:num>
  <w:num w:numId="21">
    <w:abstractNumId w:val="42"/>
  </w:num>
  <w:num w:numId="22">
    <w:abstractNumId w:val="30"/>
  </w:num>
  <w:num w:numId="23">
    <w:abstractNumId w:val="45"/>
  </w:num>
  <w:num w:numId="24">
    <w:abstractNumId w:val="36"/>
  </w:num>
  <w:num w:numId="25">
    <w:abstractNumId w:val="4"/>
  </w:num>
  <w:num w:numId="26">
    <w:abstractNumId w:val="17"/>
  </w:num>
  <w:num w:numId="27">
    <w:abstractNumId w:val="8"/>
  </w:num>
  <w:num w:numId="28">
    <w:abstractNumId w:val="39"/>
  </w:num>
  <w:num w:numId="29">
    <w:abstractNumId w:val="14"/>
  </w:num>
  <w:num w:numId="30">
    <w:abstractNumId w:val="10"/>
  </w:num>
  <w:num w:numId="31">
    <w:abstractNumId w:val="24"/>
  </w:num>
  <w:num w:numId="32">
    <w:abstractNumId w:val="32"/>
  </w:num>
  <w:num w:numId="33">
    <w:abstractNumId w:val="27"/>
  </w:num>
  <w:num w:numId="34">
    <w:abstractNumId w:val="15"/>
  </w:num>
  <w:num w:numId="35">
    <w:abstractNumId w:val="28"/>
  </w:num>
  <w:num w:numId="36">
    <w:abstractNumId w:val="9"/>
  </w:num>
  <w:num w:numId="37">
    <w:abstractNumId w:val="20"/>
  </w:num>
  <w:num w:numId="38">
    <w:abstractNumId w:val="43"/>
  </w:num>
  <w:num w:numId="39">
    <w:abstractNumId w:val="40"/>
  </w:num>
  <w:num w:numId="40">
    <w:abstractNumId w:val="2"/>
  </w:num>
  <w:num w:numId="41">
    <w:abstractNumId w:val="34"/>
  </w:num>
  <w:num w:numId="42">
    <w:abstractNumId w:val="33"/>
  </w:num>
  <w:num w:numId="43">
    <w:abstractNumId w:val="19"/>
  </w:num>
  <w:num w:numId="44">
    <w:abstractNumId w:val="18"/>
  </w:num>
  <w:num w:numId="45">
    <w:abstractNumId w:val="26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88"/>
    <w:rsid w:val="009A0B88"/>
    <w:rsid w:val="00B81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ody Text"/>
    <w:basedOn w:val="a"/>
    <w:link w:val="a6"/>
    <w:unhideWhenUsed/>
    <w:pPr>
      <w:spacing w:after="120"/>
    </w:pPr>
  </w:style>
  <w:style w:type="character" w:customStyle="1" w:styleId="a6">
    <w:name w:val="Основной текст Знак"/>
    <w:basedOn w:val="a0"/>
    <w:link w:val="a5"/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pPr>
      <w:spacing w:after="160" w:line="259" w:lineRule="auto"/>
    </w:pPr>
    <w:rPr>
      <w:rFonts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Pr>
      <w:rFonts w:eastAsiaTheme="minorEastAsia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hAnsi="Calibri" w:cs="Calibri"/>
      <w:b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ody Text"/>
    <w:basedOn w:val="a"/>
    <w:link w:val="a6"/>
    <w:unhideWhenUsed/>
    <w:pPr>
      <w:spacing w:after="120"/>
    </w:pPr>
  </w:style>
  <w:style w:type="character" w:customStyle="1" w:styleId="a6">
    <w:name w:val="Основной текст Знак"/>
    <w:basedOn w:val="a0"/>
    <w:link w:val="a5"/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pPr>
      <w:spacing w:after="160" w:line="259" w:lineRule="auto"/>
    </w:pPr>
    <w:rPr>
      <w:rFonts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Pr>
      <w:rFonts w:eastAsiaTheme="minorEastAsia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hAnsi="Calibri" w:cs="Calibri"/>
      <w:b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40899263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40899263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3943</Words>
  <Characters>22476</Characters>
  <Application>Microsoft Office Word</Application>
  <DocSecurity>4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Ануфриева Наталья Андреевна</cp:lastModifiedBy>
  <cp:revision>2</cp:revision>
  <cp:lastPrinted>2024-10-10T09:46:00Z</cp:lastPrinted>
  <dcterms:created xsi:type="dcterms:W3CDTF">2024-11-05T08:31:00Z</dcterms:created>
  <dcterms:modified xsi:type="dcterms:W3CDTF">2024-11-05T08:31:00Z</dcterms:modified>
</cp:coreProperties>
</file>