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05.08.2026</w:t>
        <w:tab/>
        <w:t>№2708-п</w:t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изменения в постановление администрации Копейского городского округа от 29.08.2022 № 2242-п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  </w:t>
      </w:r>
      <w:r>
        <w:rPr>
          <w:rFonts w:eastAsia="Times New Roman"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в целях выполнения мероприятий по оптимизации услуг в рамках оптимизированных стандартов  по Перечню услуг «1-0-1», утвержденному протоколом заочного голосования подкомиссии по вопросам повышения качества оказания государственных услуг при Правительственной комиссии по проведению административной реформы от 24.12.2025 № 3пр,  администрация Копейского городского округа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разрешения», утвержденный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Копейского городского округа от 29.08.2022 № 2242-п «Об утверждении административного регламента предоставления муниципальной услуги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</w:t>
      </w:r>
      <w:r>
        <w:rPr>
          <w:rFonts w:cs="Times New Roman" w:ascii="Times New Roman" w:hAnsi="Times New Roman"/>
          <w:sz w:val="28"/>
          <w:szCs w:val="28"/>
        </w:rPr>
        <w:t xml:space="preserve"> изменение, изложив  </w:t>
      </w:r>
      <w:r>
        <w:rPr>
          <w:rFonts w:eastAsia="Times New Roman" w:cs="Times New Roman" w:ascii="Times New Roman" w:hAnsi="Times New Roman"/>
          <w:sz w:val="28"/>
          <w:szCs w:val="28"/>
        </w:rPr>
        <w:t>пункт  10.1.2.  административного регламента в следующей редакции:</w:t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«10.1.2. Для выдачи разрешения на установку и эксплуатацию рекламной конструкции заявитель дополнительно предоставляет: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425" w:left="1134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</w:rPr>
        <w:t>проектную документацию рекламной конструкции;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425" w:left="1134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</w:rPr>
        <w:t>эскиз рекламной конструкции;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нотариально удостоверенное согласие собственников помещений в многоквартирном доме (в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документом, подтверждающим согласие этих собственников, является протокол общего собрания собственников помещений в многоквартирном доме, содержащий решение, принятое большинством не менее двух третей голосов от общего числа собственников помещений в многоквартирном доме) (при необходимости);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согласие собственника или иного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 (не требуется в случае установки рекламной конструкции на объектах, находящихся в государственной или муниципальной собственности) (при необходимости);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 w:right="-1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договор   на  установку  и  эксплуатацию   рекламной   конструкции, за исключением случаев: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а)</w:t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когда заявитель является собственником рекламной конструкции  и единоличным собственником имущества, к которому присоединяется рекламная конструкция;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б)   когда заключен договор по итогам проведения торгов в случае присоединения рекламной конструкции к имуществу, находящемуся в государственной (муниципальной) собственности.».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4. 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  Настоящее постановление вступает в силу со дня его опубликования.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Временно исполняющий полномочия 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Главы городского округа                                                </w:t>
        <w:tab/>
        <w:t xml:space="preserve">         А.Н. Арасланов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9140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41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3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7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9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1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3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5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77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 w:customStyle="1">
    <w:name w:val="Прижатый влево"/>
    <w:basedOn w:val="Normal"/>
    <w:next w:val="Normal"/>
    <w:uiPriority w:val="99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11" w:customStyle="1">
    <w:name w:val="Заголовок 11"/>
    <w:qFormat/>
    <w:pPr>
      <w:widowControl/>
      <w:pBdr/>
      <w:bidi w:val="0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26282F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 с отступом1"/>
    <w:qFormat/>
    <w:pPr>
      <w:widowControl/>
      <w:pBdr/>
      <w:bidi w:val="0"/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E05A2-04A5-43D3-982C-FE57EACE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483</Words>
  <Characters>3665</Characters>
  <CharactersWithSpaces>4222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2026-08-05T05:53:00Z</dcterms:created>
  <dc:creator>Лариса Веркина</dc:creator>
  <dc:description/>
  <dc:language>ru-RU</dc:language>
  <cp:lastModifiedBy/>
  <dcterms:modified xsi:type="dcterms:W3CDTF">2026-08-05T10:53:36Z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