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before="0" w:after="361"/>
        <w:ind w:hanging="0" w:left="0" w:right="64"/>
        <w:jc w:val="center"/>
        <w:rPr>
          <w:b/>
        </w:rPr>
      </w:pPr>
      <w:r>
        <w:rPr>
          <w:b/>
        </w:rPr>
        <w:t xml:space="preserve">ПОЛОЖЕНИЕ О ПРОВЕДЕНИИ ВСЕРОССИЙСКОГО КОНКУРСА «ЭКОЛОГИЧЕСКИЙ ГЕРБ: ЗНАТЬ, ЧТОБЫ СОХРАНИТЬ» </w:t>
      </w:r>
    </w:p>
    <w:p>
      <w:pPr>
        <w:pStyle w:val="Heading1"/>
        <w:spacing w:before="0" w:after="283"/>
        <w:ind w:hanging="0" w:left="0" w:right="62"/>
        <w:rPr/>
      </w:pPr>
      <w:r>
        <w:rPr/>
        <w:t xml:space="preserve">1. ОБЩИЕ ПОЛОЖЕНИЯ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1.1. Настоящее положение о Всероссийском конкурсе «Экологический герб: знать, чтобы сохранить» («ЭкоГерб») (далее – Конкурс) определяет цели и задачи Конкурса, организаторов и участников Конкурса, номинации, требования к конкурсным материалам и порядок их подачи, порядок и условия проведения Конкурса, критерии оценки конкурсных материалов, подведение итогов Конкурса и награждение, авторские права. </w:t>
      </w:r>
    </w:p>
    <w:p>
      <w:pPr>
        <w:pStyle w:val="BodyText"/>
        <w:spacing w:before="0" w:after="0"/>
        <w:ind w:hanging="0" w:left="0" w:right="45"/>
        <w:rPr/>
      </w:pPr>
      <w:r>
        <w:rPr/>
        <w:t>1.2. Информация о Конкурсе, включая настоящее Положение, его итогах и победителях размещается на интернет-сайте Организатора</w:t>
      </w:r>
      <w:hyperlink r:id="rId2">
        <w:r>
          <w:rPr>
            <w:rStyle w:val="Hyperlink"/>
            <w:strike w:val="false"/>
            <w:dstrike w:val="false"/>
            <w:color w:val="000000"/>
            <w:u w:val="none"/>
            <w:effect w:val="none"/>
          </w:rPr>
          <w:t xml:space="preserve"> www.vernadsky.ru.</w:t>
        </w:r>
      </w:hyperlink>
      <w:r>
        <w:rPr/>
        <w:t xml:space="preserve">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1.3. Подача работы на Конкурс означает добровольное согласие с условиями Конкурса.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1.4. Работы победителей Конкурса направляются в органы исполнительной власти субъектов Российской Федерации и органы местного самоуправления для рассмотрения возможности их дальнейшего использования.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1.5. Участие в Конкурсе является бесплатным и не предусматривает организационного сбора. </w:t>
      </w:r>
    </w:p>
    <w:p>
      <w:pPr>
        <w:pStyle w:val="Heading1"/>
        <w:spacing w:before="0" w:after="283"/>
        <w:ind w:hanging="0" w:left="0" w:right="62"/>
        <w:rPr/>
      </w:pPr>
      <w:r>
        <w:rPr/>
        <w:t xml:space="preserve">2. ЦЕЛИ И ЗАДАЧИ КОНКУРСА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2.1. Цель Конкурса: создание первой в Российской Федерации интерактивной карты экологических гербов субъектов и населенных пунктов РФ </w:t>
      </w:r>
      <w:r>
        <w:rPr>
          <w:color w:val="4472C4"/>
          <w:u w:val="single"/>
        </w:rPr>
        <w:t>https://vernadsky.ru/de/proekty/ecogerb</w:t>
      </w:r>
      <w:r>
        <w:rPr/>
        <w:t xml:space="preserve"> </w:t>
      </w:r>
    </w:p>
    <w:p>
      <w:pPr>
        <w:pStyle w:val="BodyText"/>
        <w:spacing w:lineRule="auto" w:line="254" w:before="0" w:after="121"/>
        <w:ind w:hanging="0" w:left="360" w:right="45"/>
        <w:rPr/>
      </w:pPr>
      <w:r>
        <w:rPr/>
        <w:t xml:space="preserve">2.2. Задачи Конкурса: </w:t>
      </w:r>
    </w:p>
    <w:p>
      <w:pPr>
        <w:pStyle w:val="BodyText"/>
        <w:spacing w:lineRule="auto" w:line="254" w:before="0" w:after="163"/>
        <w:ind w:hanging="0" w:left="360" w:right="45"/>
        <w:rPr/>
      </w:pPr>
      <w:r>
        <w:rPr/>
        <w:t xml:space="preserve">2.3. выявление экологических символов субъектов и населённых пунктов РФ; </w:t>
      </w:r>
    </w:p>
    <w:p>
      <w:pPr>
        <w:pStyle w:val="BodyText"/>
        <w:spacing w:lineRule="auto" w:line="254" w:before="0" w:after="99"/>
        <w:ind w:hanging="0" w:left="0" w:right="0"/>
        <w:jc w:val="left"/>
        <w:rPr/>
      </w:pPr>
      <w:r>
        <w:rPr/>
        <w:t xml:space="preserve">                −        </w:t>
      </w:r>
      <w:r>
        <w:rPr/>
        <w:t xml:space="preserve">создание экологических гербов субъектов и населённых пунктов РФ; </w:t>
      </w:r>
    </w:p>
    <w:p>
      <w:pPr>
        <w:pStyle w:val="BodyText"/>
        <w:spacing w:before="0" w:after="48"/>
        <w:ind w:hanging="0" w:left="0" w:right="45"/>
        <w:rPr/>
      </w:pPr>
      <w:r>
        <w:rPr/>
        <w:t xml:space="preserve">− </w:t>
      </w:r>
      <w:r>
        <w:rPr/>
        <w:t xml:space="preserve">привлечение общественного внимания к богатству и уникальности природы субъектов, городов и населенных пунктов Российской Федерации; </w:t>
      </w:r>
    </w:p>
    <w:p>
      <w:pPr>
        <w:pStyle w:val="BodyText"/>
        <w:spacing w:lineRule="auto" w:line="254" w:before="0" w:after="99"/>
        <w:ind w:hanging="0" w:left="0" w:right="0"/>
        <w:jc w:val="left"/>
        <w:rPr/>
      </w:pPr>
      <w:r>
        <w:rPr/>
        <w:t xml:space="preserve">                −        </w:t>
      </w:r>
      <w:r>
        <w:rPr/>
        <w:t xml:space="preserve">мотивация детей и взрослых к исследованию природы своего региона; </w:t>
      </w:r>
    </w:p>
    <w:p>
      <w:pPr>
        <w:pStyle w:val="BodyText"/>
        <w:spacing w:lineRule="auto" w:line="254" w:before="0" w:after="99"/>
        <w:ind w:hanging="0" w:left="0" w:right="0"/>
        <w:jc w:val="left"/>
        <w:rPr/>
      </w:pPr>
      <w:r>
        <w:rPr/>
        <w:t xml:space="preserve">                −        </w:t>
      </w:r>
      <w:r>
        <w:rPr/>
        <w:t xml:space="preserve">содействие развитию и реализации творческого потенциала молодежи. </w:t>
      </w:r>
    </w:p>
    <w:p>
      <w:pPr>
        <w:pStyle w:val="Heading1"/>
        <w:spacing w:before="0" w:after="283"/>
        <w:ind w:hanging="0" w:left="0" w:right="64"/>
        <w:rPr/>
      </w:pPr>
      <w:r>
        <w:rPr/>
        <w:t xml:space="preserve">3. ОРГАНИЗАТОРЫ И УЧАСТНИКИ КОНКУРСА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3.1. Организатором Конкурса является Неправительственный экологический фонд имени В.И. Вернадского (далее – Организатор)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3.2. Автором идеи Конкурса является финалист эколого-просветительского проекта Фонда имени В.И. Вернадского для подростков «Школа ЭКОЛИДЕР» Владимир Матюшкин (г. Армавир, Краснодарский край). </w:t>
      </w:r>
    </w:p>
    <w:p>
      <w:pPr>
        <w:pStyle w:val="BodyText"/>
        <w:spacing w:before="0" w:after="29"/>
        <w:ind w:hanging="0" w:left="0" w:right="45"/>
        <w:rPr/>
      </w:pPr>
      <w:r>
        <w:rPr/>
        <w:t xml:space="preserve">3.3. Организатор вправе привлекать третьих лиц для осуществления подготовки и проведения Конкурса, определять и утверждать партнеров Конкурса, размещать в СМИ и сети Интернет любые информационные и рекламные материалы Конкурса, направлять официальные письма и запросы в любые учреждения и инстанции. </w:t>
      </w:r>
    </w:p>
    <w:p>
      <w:pPr>
        <w:pStyle w:val="BodyText"/>
        <w:spacing w:lineRule="auto" w:line="254" w:before="0" w:after="130"/>
        <w:ind w:hanging="0" w:left="0" w:right="0"/>
        <w:jc w:val="left"/>
        <w:rPr/>
      </w:pPr>
      <w:r>
        <w:rPr/>
        <w:t xml:space="preserve">        </w:t>
      </w:r>
      <w:r>
        <w:rPr/>
        <w:t xml:space="preserve">3.4.           Участниками Конкурса являются граждане РФ в возрасте от 7 лет.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3.5. Участниками конкурса могут стать как один человек, так и группа лиц (объединение участников). Объединение участников не должно превышать 10 человек. </w:t>
      </w:r>
    </w:p>
    <w:p>
      <w:pPr>
        <w:pStyle w:val="Heading1"/>
        <w:spacing w:before="0" w:after="283"/>
        <w:ind w:hanging="0" w:left="0" w:right="62"/>
        <w:rPr/>
      </w:pPr>
      <w:r>
        <w:rPr/>
        <w:t xml:space="preserve">4. НОМИНАЦИИ КОНКУРСА </w:t>
      </w:r>
    </w:p>
    <w:p>
      <w:pPr>
        <w:pStyle w:val="BodyText"/>
        <w:spacing w:lineRule="auto" w:line="254" w:before="0" w:after="151"/>
        <w:ind w:hanging="0" w:left="0" w:right="0"/>
        <w:jc w:val="left"/>
        <w:rPr/>
      </w:pPr>
      <w:r>
        <w:rPr/>
        <w:t xml:space="preserve">        </w:t>
      </w:r>
      <w:r>
        <w:rPr/>
        <w:t xml:space="preserve">4.1.           Конкурс проводится в двух номинациях: </w:t>
      </w:r>
    </w:p>
    <w:p>
      <w:pPr>
        <w:pStyle w:val="BodyText"/>
        <w:spacing w:before="0" w:after="33"/>
        <w:ind w:hanging="0" w:left="0" w:right="45"/>
        <w:rPr/>
      </w:pPr>
      <w:r>
        <w:rPr/>
        <w:t xml:space="preserve">− </w:t>
      </w:r>
      <w:r>
        <w:rPr>
          <w:b/>
          <w:i/>
        </w:rPr>
        <w:t>Экологический герб субъекта Российской Федерации</w:t>
      </w:r>
      <w:r>
        <w:rPr/>
        <w:t xml:space="preserve"> (объектами являются представители биологического и природно-территориального разнообразия субъекта РФ).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− </w:t>
      </w:r>
      <w:r>
        <w:rPr>
          <w:b/>
          <w:i/>
        </w:rPr>
        <w:t>Экологический герб населённого пункта Российской Федерации</w:t>
      </w:r>
      <w:r>
        <w:rPr/>
        <w:t xml:space="preserve"> (объектами являются представители биологического и природно-территориального разнообразия населенного пункта (город, поселок городского типа, село и т.д.), расположенного на территории РФ).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4.2. Возможно участие как в одной, так и в двух номинациях. Заявка подается отдельно на каждую конкурсную работу. </w:t>
      </w:r>
    </w:p>
    <w:tbl>
      <w:tblPr>
        <w:tblW w:w="940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9"/>
        <w:gridCol w:w="7995"/>
      </w:tblGrid>
      <w:tr>
        <w:trPr/>
        <w:tc>
          <w:tcPr>
            <w:tcW w:w="1409" w:type="dxa"/>
            <w:tcBorders/>
          </w:tcPr>
          <w:p>
            <w:pPr>
              <w:pStyle w:val="Style36"/>
              <w:spacing w:lineRule="auto" w:line="254" w:before="0" w:after="115"/>
              <w:ind w:hanging="0" w:left="358" w:right="0"/>
              <w:jc w:val="left"/>
              <w:rPr/>
            </w:pPr>
            <w:r>
              <w:rPr/>
              <w:t>4.3.</w:t>
            </w:r>
          </w:p>
          <w:p>
            <w:pPr>
              <w:pStyle w:val="Style36"/>
              <w:spacing w:before="0" w:after="0"/>
              <w:ind w:hanging="0" w:left="0" w:right="0"/>
              <w:jc w:val="left"/>
              <w:rPr/>
            </w:pPr>
            <w:r>
              <w:rPr/>
              <w:t>группам:</w:t>
            </w:r>
          </w:p>
        </w:tc>
        <w:tc>
          <w:tcPr>
            <w:tcW w:w="7995" w:type="dxa"/>
            <w:tcBorders/>
          </w:tcPr>
          <w:p>
            <w:pPr>
              <w:pStyle w:val="Style36"/>
              <w:spacing w:before="0" w:after="0"/>
              <w:ind w:hanging="0" w:left="0" w:right="0"/>
              <w:rPr/>
            </w:pPr>
            <w:r>
              <w:rPr/>
              <w:t>каждой номинации работы оцениваются отдельно по трем возрастным</w:t>
            </w:r>
          </w:p>
        </w:tc>
      </w:tr>
      <w:tr>
        <w:trPr/>
        <w:tc>
          <w:tcPr>
            <w:tcW w:w="1409" w:type="dxa"/>
            <w:tcBorders/>
            <w:vAlign w:val="center"/>
          </w:tcPr>
          <w:p>
            <w:pPr>
              <w:pStyle w:val="Style36"/>
              <w:spacing w:before="0" w:after="0"/>
              <w:ind w:hanging="0" w:left="0" w:right="0"/>
              <w:jc w:val="center"/>
              <w:rPr/>
            </w:pPr>
            <w:r>
              <w:rPr/>
              <w:t>−</w:t>
            </w:r>
          </w:p>
        </w:tc>
        <w:tc>
          <w:tcPr>
            <w:tcW w:w="7995" w:type="dxa"/>
            <w:tcBorders/>
            <w:vAlign w:val="center"/>
          </w:tcPr>
          <w:p>
            <w:pPr>
              <w:pStyle w:val="Style36"/>
              <w:spacing w:before="0" w:after="0"/>
              <w:ind w:hanging="0" w:left="0" w:right="0"/>
              <w:jc w:val="left"/>
              <w:rPr/>
            </w:pPr>
            <w:r>
              <w:rPr/>
              <w:t>младшая возрастная группа (7 – 12 лет)</w:t>
            </w:r>
          </w:p>
        </w:tc>
      </w:tr>
      <w:tr>
        <w:trPr/>
        <w:tc>
          <w:tcPr>
            <w:tcW w:w="1409" w:type="dxa"/>
            <w:tcBorders/>
            <w:vAlign w:val="center"/>
          </w:tcPr>
          <w:p>
            <w:pPr>
              <w:pStyle w:val="Style36"/>
              <w:spacing w:before="0" w:after="0"/>
              <w:ind w:hanging="0" w:left="0" w:right="0"/>
              <w:jc w:val="center"/>
              <w:rPr/>
            </w:pPr>
            <w:r>
              <w:rPr/>
              <w:t>−</w:t>
            </w:r>
          </w:p>
        </w:tc>
        <w:tc>
          <w:tcPr>
            <w:tcW w:w="7995" w:type="dxa"/>
            <w:tcBorders/>
            <w:vAlign w:val="center"/>
          </w:tcPr>
          <w:p>
            <w:pPr>
              <w:pStyle w:val="Style36"/>
              <w:spacing w:before="0" w:after="0"/>
              <w:ind w:hanging="0" w:left="0" w:right="0"/>
              <w:jc w:val="left"/>
              <w:rPr/>
            </w:pPr>
            <w:r>
              <w:rPr/>
              <w:t>средняя возрастная группа (13 – 18 лет)</w:t>
            </w:r>
          </w:p>
        </w:tc>
      </w:tr>
      <w:tr>
        <w:trPr/>
        <w:tc>
          <w:tcPr>
            <w:tcW w:w="1409" w:type="dxa"/>
            <w:tcBorders/>
            <w:vAlign w:val="bottom"/>
          </w:tcPr>
          <w:p>
            <w:pPr>
              <w:pStyle w:val="Style36"/>
              <w:spacing w:before="0" w:after="0"/>
              <w:ind w:hanging="0" w:left="0" w:right="0"/>
              <w:jc w:val="center"/>
              <w:rPr/>
            </w:pPr>
            <w:r>
              <w:rPr/>
              <w:t>−</w:t>
            </w:r>
          </w:p>
        </w:tc>
        <w:tc>
          <w:tcPr>
            <w:tcW w:w="7995" w:type="dxa"/>
            <w:tcBorders/>
            <w:vAlign w:val="bottom"/>
          </w:tcPr>
          <w:p>
            <w:pPr>
              <w:pStyle w:val="Style36"/>
              <w:spacing w:before="0" w:after="0"/>
              <w:ind w:hanging="0" w:left="0" w:right="0"/>
              <w:jc w:val="left"/>
              <w:rPr/>
            </w:pPr>
            <w:r>
              <w:rPr/>
              <w:t>старшая возрастная группа (от 18 лет).</w:t>
            </w:r>
          </w:p>
        </w:tc>
      </w:tr>
    </w:tbl>
    <w:p>
      <w:pPr>
        <w:pStyle w:val="BodyText"/>
        <w:spacing w:before="0" w:after="0"/>
        <w:ind w:hanging="0" w:left="0" w:right="45"/>
        <w:rPr/>
      </w:pPr>
      <w:r>
        <w:rPr/>
        <w:t> </w:t>
      </w:r>
      <w:r>
        <w:rPr/>
        <w:t xml:space="preserve">Работы, поданные от объединения участников, определяются в возрастную группу по самому старшему участнику, без учета возраста руководителя проекта (преподавателя, воспитателя, методиста и т.п.).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4.4. В каждой номинации может быть определен один или несколько победителей в каждой возрастной группе.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4.5. Победителем в номинации признается проект, получивший от членов жюри наибольшее количество баллов. </w:t>
      </w:r>
    </w:p>
    <w:p>
      <w:pPr>
        <w:pStyle w:val="BodyText"/>
        <w:spacing w:lineRule="auto" w:line="254" w:before="0" w:after="123"/>
        <w:ind w:hanging="360" w:left="511" w:right="0"/>
        <w:jc w:val="left"/>
        <w:rPr/>
      </w:pPr>
      <w:r>
        <w:rPr>
          <w:b/>
        </w:rPr>
        <w:t>5.</w:t>
      </w:r>
      <w:r>
        <w:rPr>
          <w:b/>
          <w:caps w:val="false"/>
          <w:smallCaps w:val="false"/>
        </w:rPr>
        <w:t xml:space="preserve">      </w:t>
      </w:r>
      <w:r>
        <w:rPr>
          <w:b/>
        </w:rPr>
        <w:t xml:space="preserve">ТРЕБОВАНИЯ К КОНКУРСНЫМ МАТЕРИАЛАМ И ПОРЯДОК ИХ ПОДАЧИ </w:t>
      </w:r>
    </w:p>
    <w:p>
      <w:pPr>
        <w:pStyle w:val="BodyText"/>
        <w:spacing w:lineRule="auto" w:line="352" w:before="0" w:after="0"/>
        <w:ind w:hanging="0" w:left="0" w:right="45"/>
        <w:rPr/>
      </w:pPr>
      <w:r>
        <w:rPr/>
        <w:t>5.1.</w:t>
      </w:r>
      <w:r>
        <w:rPr>
          <w:caps w:val="false"/>
          <w:smallCaps w:val="false"/>
        </w:rPr>
        <w:t xml:space="preserve">                  </w:t>
      </w:r>
      <w:r>
        <w:rPr/>
        <w:t xml:space="preserve">К участию в Конкурсе допускаются работы, соответствующие следующим требованиям: </w:t>
      </w:r>
    </w:p>
    <w:p>
      <w:pPr>
        <w:pStyle w:val="BodyText"/>
        <w:spacing w:lineRule="auto" w:line="352" w:before="0" w:after="51"/>
        <w:ind w:firstLine="720" w:left="1591" w:right="45"/>
        <w:rPr/>
      </w:pPr>
      <w:r>
        <w:rPr/>
        <w:t>5.1.1.</w:t>
      </w:r>
      <w:r>
        <w:rPr>
          <w:caps w:val="false"/>
          <w:smallCaps w:val="false"/>
        </w:rPr>
        <w:t xml:space="preserve">                       </w:t>
      </w:r>
      <w:r>
        <w:rPr/>
        <w:t xml:space="preserve">ЭкоГерб должен быть составлен в соответствии с основными правилами геральдики: </w:t>
      </w:r>
    </w:p>
    <w:p>
      <w:pPr>
        <w:pStyle w:val="BodyText"/>
        <w:spacing w:lineRule="auto" w:line="254" w:before="0" w:after="102"/>
        <w:ind w:hanging="0" w:left="0" w:right="0"/>
        <w:jc w:val="left"/>
        <w:rPr/>
      </w:pPr>
      <w:r>
        <w:rPr/>
        <w:t xml:space="preserve">                −         </w:t>
      </w:r>
      <w:r>
        <w:rPr/>
        <w:t xml:space="preserve">обязательным условием является наличие щита любой формы;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− </w:t>
      </w:r>
      <w:r>
        <w:rPr/>
        <w:t xml:space="preserve">допускается использование щитодержателей, мантии, девиза и различных элементов вокруг щита. </w:t>
      </w:r>
    </w:p>
    <w:p>
      <w:pPr>
        <w:pStyle w:val="BodyText"/>
        <w:spacing w:lineRule="auto" w:line="352" w:before="0" w:after="0"/>
        <w:ind w:hanging="0" w:left="0" w:right="45"/>
        <w:rPr/>
      </w:pPr>
      <w:r>
        <w:rPr/>
        <w:t>5.1.2.</w:t>
      </w:r>
      <w:r>
        <w:rPr>
          <w:caps w:val="false"/>
          <w:smallCaps w:val="false"/>
        </w:rPr>
        <w:t xml:space="preserve">                       </w:t>
      </w:r>
      <w:r>
        <w:rPr/>
        <w:t xml:space="preserve">ЭкоГерб содержит изображение одного или нескольких представителей флоры и/или фауны выбранного субъекта, населенного пункта Российской Федерации. Выбор представителей флоры/фауны, используемых в ЭкоГербе, может быть основан на уникальности данных представителей для конкретной территории (эндемики, виды под угрозой вымирания), но не ограничивается только ими. В качестве дополнения в работах могут присутствовать природные объекты (горы, реки, каньоны и т.п.). </w:t>
      </w:r>
    </w:p>
    <w:p>
      <w:pPr>
        <w:pStyle w:val="BodyText"/>
        <w:spacing w:lineRule="auto" w:line="352" w:before="0" w:after="29"/>
        <w:ind w:firstLine="720" w:left="1591" w:right="45"/>
        <w:rPr/>
      </w:pPr>
      <w:r>
        <w:rPr/>
        <w:t>5.1.3.</w:t>
      </w:r>
      <w:r>
        <w:rPr>
          <w:caps w:val="false"/>
          <w:smallCaps w:val="false"/>
        </w:rPr>
        <w:t xml:space="preserve">                       </w:t>
      </w:r>
      <w:r>
        <w:rPr/>
        <w:t xml:space="preserve">ЭкоГербы, которые содержат только общие природные символы (земной шар, солнце, дерево, росток и пр.) и не отражают представителей биологического и/или природно-территориального разнообразия конкретного региона или населенного пункта к участию в конкурсе не принимаются.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− </w:t>
      </w:r>
      <w:r>
        <w:rPr/>
        <w:t xml:space="preserve">Изображение ЭкоГерба должно сопровождаться информационным текстом с обоснованием выбора его составляющих: </w:t>
      </w:r>
    </w:p>
    <w:tbl>
      <w:tblPr>
        <w:tblW w:w="619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"/>
        <w:gridCol w:w="5130"/>
      </w:tblGrid>
      <w:tr>
        <w:trPr/>
        <w:tc>
          <w:tcPr>
            <w:tcW w:w="1064" w:type="dxa"/>
            <w:tcBorders/>
          </w:tcPr>
          <w:p>
            <w:pPr>
              <w:pStyle w:val="Style36"/>
              <w:spacing w:before="0" w:after="0"/>
              <w:ind w:hanging="0" w:left="0" w:right="0"/>
              <w:jc w:val="left"/>
              <w:rPr/>
            </w:pPr>
            <w:r>
              <w:rPr/>
              <w:t>−</w:t>
            </w:r>
          </w:p>
        </w:tc>
        <w:tc>
          <w:tcPr>
            <w:tcW w:w="5130" w:type="dxa"/>
            <w:tcBorders/>
          </w:tcPr>
          <w:p>
            <w:pPr>
              <w:pStyle w:val="Style36"/>
              <w:spacing w:before="0" w:after="0"/>
              <w:ind w:hanging="0" w:left="0" w:right="0"/>
              <w:jc w:val="left"/>
              <w:rPr/>
            </w:pPr>
            <w:r>
              <w:rPr/>
              <w:t>представителей флоры и/или фауны</w:t>
            </w:r>
          </w:p>
        </w:tc>
      </w:tr>
      <w:tr>
        <w:trPr/>
        <w:tc>
          <w:tcPr>
            <w:tcW w:w="1064" w:type="dxa"/>
            <w:tcBorders/>
            <w:vAlign w:val="center"/>
          </w:tcPr>
          <w:p>
            <w:pPr>
              <w:pStyle w:val="Style36"/>
              <w:spacing w:before="0" w:after="0"/>
              <w:ind w:hanging="0" w:left="0" w:right="0"/>
              <w:jc w:val="left"/>
              <w:rPr/>
            </w:pPr>
            <w:r>
              <w:rPr/>
              <w:t>−</w:t>
            </w:r>
          </w:p>
        </w:tc>
        <w:tc>
          <w:tcPr>
            <w:tcW w:w="5130" w:type="dxa"/>
            <w:tcBorders/>
            <w:vAlign w:val="center"/>
          </w:tcPr>
          <w:p>
            <w:pPr>
              <w:pStyle w:val="Style36"/>
              <w:spacing w:before="0" w:after="0"/>
              <w:ind w:hanging="0" w:left="0" w:right="0"/>
              <w:rPr/>
            </w:pPr>
            <w:r>
              <w:rPr/>
              <w:t>природных объектов (в случае их использования)</w:t>
            </w:r>
          </w:p>
        </w:tc>
      </w:tr>
      <w:tr>
        <w:trPr/>
        <w:tc>
          <w:tcPr>
            <w:tcW w:w="1064" w:type="dxa"/>
            <w:tcBorders/>
            <w:vAlign w:val="center"/>
          </w:tcPr>
          <w:p>
            <w:pPr>
              <w:pStyle w:val="Style36"/>
              <w:spacing w:before="0" w:after="0"/>
              <w:ind w:hanging="0" w:left="0" w:right="0"/>
              <w:jc w:val="left"/>
              <w:rPr/>
            </w:pPr>
            <w:r>
              <w:rPr/>
              <w:t>−</w:t>
            </w:r>
          </w:p>
        </w:tc>
        <w:tc>
          <w:tcPr>
            <w:tcW w:w="5130" w:type="dxa"/>
            <w:tcBorders/>
            <w:vAlign w:val="center"/>
          </w:tcPr>
          <w:p>
            <w:pPr>
              <w:pStyle w:val="Style36"/>
              <w:spacing w:before="0" w:after="0"/>
              <w:ind w:hanging="0" w:left="0" w:right="0"/>
              <w:jc w:val="left"/>
              <w:rPr/>
            </w:pPr>
            <w:r>
              <w:rPr/>
              <w:t>геральдических символов</w:t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Style36"/>
              <w:spacing w:before="0" w:after="0"/>
              <w:ind w:hanging="0" w:left="0" w:right="0"/>
              <w:jc w:val="left"/>
              <w:rPr/>
            </w:pPr>
            <w:r>
              <w:rPr/>
              <w:t>−</w:t>
            </w:r>
          </w:p>
        </w:tc>
        <w:tc>
          <w:tcPr>
            <w:tcW w:w="5130" w:type="dxa"/>
            <w:tcBorders/>
          </w:tcPr>
          <w:p>
            <w:pPr>
              <w:pStyle w:val="Style36"/>
              <w:spacing w:before="0" w:after="0"/>
              <w:ind w:hanging="0" w:left="0" w:right="0"/>
              <w:jc w:val="left"/>
              <w:rPr/>
            </w:pPr>
            <w:r>
              <w:rPr/>
              <w:t>цветового решения.</w:t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Style36"/>
              <w:spacing w:before="0" w:after="0"/>
              <w:ind w:hanging="0" w:left="0" w:right="0"/>
              <w:jc w:val="left"/>
              <w:rPr/>
            </w:pPr>
            <w:r>
              <w:rPr/>
              <w:t>5.2.</w:t>
            </w:r>
          </w:p>
        </w:tc>
        <w:tc>
          <w:tcPr>
            <w:tcW w:w="5130" w:type="dxa"/>
            <w:tcBorders/>
          </w:tcPr>
          <w:p>
            <w:pPr>
              <w:pStyle w:val="Style36"/>
              <w:spacing w:before="0" w:after="0"/>
              <w:ind w:hanging="0" w:left="0" w:right="0"/>
              <w:jc w:val="left"/>
              <w:rPr/>
            </w:pPr>
            <w:r>
              <w:rPr/>
              <w:t>Требования к оформлению работы.</w:t>
            </w:r>
          </w:p>
        </w:tc>
      </w:tr>
    </w:tbl>
    <w:p>
      <w:pPr>
        <w:pStyle w:val="BodyText"/>
        <w:spacing w:before="0" w:after="0"/>
        <w:ind w:hanging="0" w:left="0" w:right="45"/>
        <w:rPr/>
      </w:pPr>
      <w:r>
        <w:rPr/>
        <w:t xml:space="preserve">На Конкурс принимаются работы, созданные в графических редакторах (в формате JPG или PDF, разрешение не менее 2880px по меньшей стороне), а также рисунки, выполненные в любой художественной технике и отсканированные в высоком качестве (в формате JPG или PDF).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Фотографии работ, сделанные с помощью смартфона или фотоаппарата, к конкурсному отбору не допускаются. </w:t>
      </w:r>
    </w:p>
    <w:p>
      <w:pPr>
        <w:pStyle w:val="BodyText"/>
        <w:spacing w:before="0" w:after="250"/>
        <w:ind w:hanging="0" w:left="0" w:right="45"/>
        <w:rPr/>
      </w:pPr>
      <w:r>
        <w:rPr/>
        <w:t xml:space="preserve">5.3. Для подачи заявки на участие в Конкурсе необходимо заполнить онлайнформу, опубликованную в разделе Конкурса на сайте Организатора www.vernadsky.ru и приложить файл с конкурсной работой в соответствии с выбранной номинацией. Подавая заявку на Конкурс, участник дает согласие на хранение и обработку своих персональных данных, указанных в онлайн-форме. </w:t>
      </w:r>
    </w:p>
    <w:p>
      <w:pPr>
        <w:pStyle w:val="Heading1"/>
        <w:spacing w:before="0" w:after="283"/>
        <w:ind w:hanging="0" w:left="0" w:right="62"/>
        <w:rPr/>
      </w:pPr>
      <w:r>
        <w:rPr/>
        <w:t xml:space="preserve">6. ПОРЯДОК И УСЛОВИЯ ПРОВЕДЕНИЯ КОНКУРСА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6.1. На конкурс принимаются только оригинальные авторские рисунки экогербов, которые сопровождаются оригинальным авторским текстом на русском языке.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6.2. Материалы, присланные на Конкурс и не соответствующие требованиям данного Положения, не рассматриваются.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6.3. Оценку работ участников Конкурса и определение победителей осуществляет жюри Конкурса. При формировании состава жюри Организатор вправе привлечь специалистов, работающих в области геральдики, художественного творчества, дизайна, экологии, охраны окружающей среды, связей с общественностью, СМИ и других областях.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6.4. Результаты Конкурса публикуются на сайте Фонда им. В.И. Вернадского www.vernadsky.ru.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6.5. По вопросам участия в Конкурсе можно обращаться в оргкомитет Проекта по телефону +7(495) 953-72-77 и электронной почте ecogerb@vernadsky.ru. </w:t>
      </w:r>
    </w:p>
    <w:p>
      <w:pPr>
        <w:pStyle w:val="BodyText"/>
        <w:spacing w:lineRule="auto" w:line="254" w:before="0" w:after="125"/>
        <w:ind w:hanging="0" w:left="360" w:right="0"/>
        <w:jc w:val="left"/>
        <w:rPr/>
      </w:pPr>
      <w:r>
        <w:rPr/>
        <w:t> </w:t>
      </w:r>
    </w:p>
    <w:p>
      <w:pPr>
        <w:pStyle w:val="Heading1"/>
        <w:spacing w:before="0" w:after="283"/>
        <w:ind w:hanging="0" w:left="0" w:right="58"/>
        <w:rPr/>
      </w:pPr>
      <w:r>
        <w:rPr/>
        <w:t xml:space="preserve">7. КРИТЕРИИ ОЦЕНКИ КОНКУРСНЫХ МАТЕРИАЛОВ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7.1. Работы, представленные на Конкурс, оцениваются по следующим критериям: − соответствие работы тематике и номинации Конкурса;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− </w:t>
      </w:r>
      <w:r>
        <w:rPr/>
        <w:t xml:space="preserve">обоснованность и актуальность выбора символа(ов) для экологического герба субъекта, населенного пункта Российской Федерации; </w:t>
      </w:r>
    </w:p>
    <w:tbl>
      <w:tblPr>
        <w:tblW w:w="906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9"/>
        <w:gridCol w:w="8130"/>
      </w:tblGrid>
      <w:tr>
        <w:trPr/>
        <w:tc>
          <w:tcPr>
            <w:tcW w:w="929" w:type="dxa"/>
            <w:tcBorders/>
          </w:tcPr>
          <w:p>
            <w:pPr>
              <w:pStyle w:val="Style36"/>
              <w:spacing w:before="0" w:after="0"/>
              <w:ind w:hanging="0" w:left="0" w:right="0"/>
              <w:jc w:val="center"/>
              <w:rPr/>
            </w:pPr>
            <w:r>
              <w:rPr/>
              <w:t>−</w:t>
            </w:r>
          </w:p>
        </w:tc>
        <w:tc>
          <w:tcPr>
            <w:tcW w:w="8130" w:type="dxa"/>
            <w:tcBorders/>
          </w:tcPr>
          <w:p>
            <w:pPr>
              <w:pStyle w:val="Style36"/>
              <w:spacing w:before="0" w:after="0"/>
              <w:ind w:hanging="0" w:left="0" w:right="0"/>
              <w:jc w:val="left"/>
              <w:rPr/>
            </w:pPr>
            <w:r>
              <w:rPr/>
              <w:t>креативность;</w:t>
            </w:r>
          </w:p>
        </w:tc>
      </w:tr>
      <w:tr>
        <w:trPr/>
        <w:tc>
          <w:tcPr>
            <w:tcW w:w="929" w:type="dxa"/>
            <w:tcBorders/>
            <w:vAlign w:val="center"/>
          </w:tcPr>
          <w:p>
            <w:pPr>
              <w:pStyle w:val="Style36"/>
              <w:spacing w:before="0" w:after="0"/>
              <w:ind w:hanging="0" w:left="0" w:right="0"/>
              <w:jc w:val="center"/>
              <w:rPr/>
            </w:pPr>
            <w:r>
              <w:rPr/>
              <w:t>−</w:t>
            </w:r>
          </w:p>
        </w:tc>
        <w:tc>
          <w:tcPr>
            <w:tcW w:w="8130" w:type="dxa"/>
            <w:tcBorders/>
            <w:vAlign w:val="center"/>
          </w:tcPr>
          <w:p>
            <w:pPr>
              <w:pStyle w:val="Style36"/>
              <w:spacing w:before="0" w:after="0"/>
              <w:ind w:hanging="0" w:left="0" w:right="0"/>
              <w:jc w:val="left"/>
              <w:rPr/>
            </w:pPr>
            <w:r>
              <w:rPr/>
              <w:t>оригинальность и мастерство решения;</w:t>
            </w:r>
          </w:p>
        </w:tc>
      </w:tr>
      <w:tr>
        <w:trPr/>
        <w:tc>
          <w:tcPr>
            <w:tcW w:w="929" w:type="dxa"/>
            <w:tcBorders/>
          </w:tcPr>
          <w:p>
            <w:pPr>
              <w:pStyle w:val="Style36"/>
              <w:spacing w:before="0" w:after="0"/>
              <w:ind w:hanging="0" w:left="0" w:right="0"/>
              <w:jc w:val="center"/>
              <w:rPr/>
            </w:pPr>
            <w:r>
              <w:rPr/>
              <w:t>−</w:t>
            </w:r>
          </w:p>
        </w:tc>
        <w:tc>
          <w:tcPr>
            <w:tcW w:w="8130" w:type="dxa"/>
            <w:tcBorders/>
          </w:tcPr>
          <w:p>
            <w:pPr>
              <w:pStyle w:val="Style36"/>
              <w:spacing w:lineRule="auto" w:line="254" w:before="0" w:after="125"/>
              <w:ind w:hanging="0" w:left="132" w:right="0"/>
              <w:jc w:val="left"/>
              <w:rPr/>
            </w:pPr>
            <w:r>
              <w:rPr/>
              <w:t>эстетичность.</w:t>
            </w:r>
          </w:p>
          <w:p>
            <w:pPr>
              <w:pStyle w:val="Style36"/>
              <w:spacing w:before="0" w:after="0"/>
              <w:ind w:hanging="0" w:left="0" w:right="0"/>
              <w:jc w:val="left"/>
              <w:rPr/>
            </w:pPr>
            <w:r>
              <w:rPr>
                <w:b/>
              </w:rPr>
              <w:t>8.</w:t>
            </w:r>
            <w:r>
              <w:rPr/>
              <w:t xml:space="preserve"> </w:t>
            </w:r>
            <w:r>
              <w:rPr>
                <w:b/>
              </w:rPr>
              <w:t>ПОДВЕДЕНИЕ ИТОГОВ КОНКУРСА И НАГРАЖДЕНИЕ</w:t>
            </w:r>
          </w:p>
        </w:tc>
      </w:tr>
      <w:tr>
        <w:trPr/>
        <w:tc>
          <w:tcPr>
            <w:tcW w:w="929" w:type="dxa"/>
            <w:tcBorders/>
            <w:vAlign w:val="bottom"/>
          </w:tcPr>
          <w:p>
            <w:pPr>
              <w:pStyle w:val="Style36"/>
              <w:spacing w:before="0" w:after="0"/>
              <w:ind w:hanging="0" w:left="0" w:right="0"/>
              <w:jc w:val="left"/>
              <w:rPr/>
            </w:pPr>
            <w:r>
              <w:rPr/>
              <w:t>8.1.</w:t>
            </w:r>
          </w:p>
        </w:tc>
        <w:tc>
          <w:tcPr>
            <w:tcW w:w="8130" w:type="dxa"/>
            <w:tcBorders/>
            <w:vAlign w:val="bottom"/>
          </w:tcPr>
          <w:p>
            <w:pPr>
              <w:pStyle w:val="Style36"/>
              <w:spacing w:before="0" w:after="0"/>
              <w:ind w:hanging="0" w:left="132" w:right="0"/>
              <w:jc w:val="left"/>
              <w:rPr/>
            </w:pPr>
            <w:r>
              <w:rPr/>
              <w:t>Победители определяются в каждой возрастной группе в каждой из двух</w:t>
            </w:r>
          </w:p>
        </w:tc>
      </w:tr>
    </w:tbl>
    <w:p>
      <w:pPr>
        <w:pStyle w:val="BodyText"/>
        <w:spacing w:before="0" w:after="121"/>
        <w:ind w:hanging="0" w:left="0" w:right="45"/>
        <w:rPr/>
      </w:pPr>
      <w:r>
        <w:rPr/>
        <w:t xml:space="preserve">номинаций. </w:t>
      </w:r>
    </w:p>
    <w:p>
      <w:pPr>
        <w:pStyle w:val="BodyText"/>
        <w:spacing w:before="0" w:after="29"/>
        <w:ind w:hanging="0" w:left="0" w:right="45"/>
        <w:rPr/>
      </w:pPr>
      <w:r>
        <w:rPr/>
        <w:t xml:space="preserve">8.2. Итоги Конкурса публикуются на сайте Фонда им. В.И. Вернадского www.vernadsky.ru. </w:t>
      </w:r>
    </w:p>
    <w:p>
      <w:pPr>
        <w:pStyle w:val="BodyText"/>
        <w:spacing w:lineRule="auto" w:line="254" w:before="0" w:after="130"/>
        <w:ind w:hanging="0" w:left="0" w:right="0"/>
        <w:jc w:val="left"/>
        <w:rPr/>
      </w:pPr>
      <w:r>
        <w:rPr/>
        <w:t xml:space="preserve">        </w:t>
      </w:r>
      <w:r>
        <w:rPr/>
        <w:t xml:space="preserve">8.3.           Победители Конкурса награждаются памятными призами и дипломами.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8.4. Авторы материалов, допущенных к участию в конкурсе, получают Сертификат участника Конкурса на электронную почту, указанную при регистрации.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8.5. Очное награждение победителей Конкурса может быть проведено по решению Организатора в рамках одного из мероприятий Фонда им. В.И. Вернадского.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8.6. Организатор оставляет за собой право провести церемонию подведения итогов и награждения победителей Конкурса в онлайн-формате, призы и дипломы победителям в этом случае будут направлены почтой на указанные в заявке почтовые адреса. </w:t>
      </w:r>
    </w:p>
    <w:p>
      <w:pPr>
        <w:pStyle w:val="Heading1"/>
        <w:spacing w:before="0" w:after="283"/>
        <w:ind w:hanging="0" w:left="0" w:right="62"/>
        <w:rPr/>
      </w:pPr>
      <w:r>
        <w:rPr/>
        <w:t xml:space="preserve">9. АВТОРСКИЕ ПРАВА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9.1. Ответственность за соблюдение авторских прав работы, участвующей в Конкурсе, несет автор, приславший данную работу на Конкурс.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9.2. Присылая свою работу на Конкурс, автор дает право Организатору Конкурса на использование присланного материала: размещение в сети интернет в открытом доступе, в СМИ, в информационных, научных, учебных, просветительских, культурных и других целях на некоммерческой основе. </w:t>
      </w:r>
    </w:p>
    <w:p>
      <w:pPr>
        <w:pStyle w:val="BodyText"/>
        <w:spacing w:before="0" w:after="0"/>
        <w:ind w:hanging="0" w:left="0" w:right="45"/>
        <w:rPr/>
      </w:pPr>
      <w:r>
        <w:rPr/>
        <w:t xml:space="preserve">9.3. В случае необходимости Организатор Конкурса может запросить у автора оригинал работы. 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auto"/>
    <w:pitch w:val="default"/>
  </w:font>
  <w:font w:name="Liberation Mono">
    <w:altName w:val="Courier New"/>
    <w:charset w:val="01"/>
    <w:family w:val="auto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lef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left="0" w:right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left="709" w:right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left="0" w:right="0"/>
      <w:jc w:val="lef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CommentText">
    <w:name w:val="annotation text"/>
    <w:basedOn w:val="BodyText"/>
    <w:pPr>
      <w:ind w:hanging="0" w:left="0" w:right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left="0" w:right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left="0" w:right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left="0" w:right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left="0" w:right="0"/>
    </w:pPr>
    <w:rPr/>
  </w:style>
  <w:style w:type="paragraph" w:styleId="ListNumber2">
    <w:name w:val="List Number 2"/>
    <w:basedOn w:val="List"/>
    <w:pPr>
      <w:spacing w:before="0" w:after="0"/>
      <w:ind w:hanging="0" w:left="0" w:right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left="0" w:right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left="0" w:right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left="0" w:right="0"/>
    </w:pPr>
    <w:rPr/>
  </w:style>
  <w:style w:type="paragraph" w:styleId="ListNumber3">
    <w:name w:val="List Number 3"/>
    <w:basedOn w:val="List"/>
    <w:pPr>
      <w:spacing w:before="0" w:after="0"/>
      <w:ind w:hanging="0" w:left="0" w:right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left="0" w:right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left="0" w:right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left="0" w:right="0"/>
    </w:pPr>
    <w:rPr/>
  </w:style>
  <w:style w:type="paragraph" w:styleId="ListNumber4">
    <w:name w:val="List Number 4"/>
    <w:basedOn w:val="List"/>
    <w:pPr>
      <w:spacing w:before="0" w:after="0"/>
      <w:ind w:hanging="0" w:left="0" w:right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left="0" w:right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left="0" w:right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left="0" w:right="0"/>
    </w:pPr>
    <w:rPr/>
  </w:style>
  <w:style w:type="paragraph" w:styleId="ListNumber5">
    <w:name w:val="List Number 5"/>
    <w:basedOn w:val="List"/>
    <w:pPr>
      <w:spacing w:before="0" w:after="0"/>
      <w:ind w:hanging="0" w:left="0" w:right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left="0" w:right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left="0" w:right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left="0" w:right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left="0" w:right="0"/>
    </w:pPr>
    <w:rPr/>
  </w:style>
  <w:style w:type="paragraph" w:styleId="ListContinue">
    <w:name w:val="List Continue"/>
    <w:basedOn w:val="List"/>
    <w:pPr>
      <w:spacing w:before="0" w:after="0"/>
      <w:ind w:hanging="0" w:left="0" w:right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left="0" w:right="0"/>
    </w:pPr>
    <w:rPr/>
  </w:style>
  <w:style w:type="paragraph" w:styleId="ListBullet2">
    <w:name w:val="List Bullet 2"/>
    <w:basedOn w:val="List"/>
    <w:pPr>
      <w:spacing w:before="0" w:after="0"/>
      <w:ind w:hanging="0" w:left="0" w:right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left="0" w:right="0"/>
    </w:pPr>
    <w:rPr/>
  </w:style>
  <w:style w:type="paragraph" w:styleId="ListContinue2">
    <w:name w:val="List Continue 2"/>
    <w:basedOn w:val="List"/>
    <w:pPr>
      <w:spacing w:before="0" w:after="0"/>
      <w:ind w:hanging="0" w:left="0" w:right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left="0" w:right="0"/>
    </w:pPr>
    <w:rPr/>
  </w:style>
  <w:style w:type="paragraph" w:styleId="ListBullet3">
    <w:name w:val="List Bullet 3"/>
    <w:basedOn w:val="List"/>
    <w:pPr>
      <w:spacing w:before="0" w:after="0"/>
      <w:ind w:hanging="0" w:left="0" w:right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left="0" w:right="0"/>
    </w:pPr>
    <w:rPr/>
  </w:style>
  <w:style w:type="paragraph" w:styleId="ListContinue3">
    <w:name w:val="List Continue 3"/>
    <w:basedOn w:val="List"/>
    <w:pPr>
      <w:spacing w:before="0" w:after="0"/>
      <w:ind w:hanging="0" w:left="0" w:right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left="0" w:right="0"/>
    </w:pPr>
    <w:rPr/>
  </w:style>
  <w:style w:type="paragraph" w:styleId="ListBullet4">
    <w:name w:val="List Bullet 4"/>
    <w:basedOn w:val="List"/>
    <w:pPr>
      <w:spacing w:before="0" w:after="0"/>
      <w:ind w:hanging="0" w:left="0" w:right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left="0" w:right="0"/>
    </w:pPr>
    <w:rPr/>
  </w:style>
  <w:style w:type="paragraph" w:styleId="ListContinue4">
    <w:name w:val="List Continue 4"/>
    <w:basedOn w:val="List"/>
    <w:pPr>
      <w:spacing w:before="0" w:after="0"/>
      <w:ind w:hanging="0" w:left="0" w:right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left="0" w:right="0"/>
    </w:pPr>
    <w:rPr/>
  </w:style>
  <w:style w:type="paragraph" w:styleId="ListBullet5">
    <w:name w:val="List Bullet 5"/>
    <w:basedOn w:val="List"/>
    <w:pPr>
      <w:spacing w:before="0" w:after="0"/>
      <w:ind w:hanging="0" w:left="0" w:right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left="0" w:right="0"/>
    </w:pPr>
    <w:rPr/>
  </w:style>
  <w:style w:type="paragraph" w:styleId="ListContinue5">
    <w:name w:val="List Continue 5"/>
    <w:basedOn w:val="List"/>
    <w:pPr>
      <w:spacing w:before="0" w:after="0"/>
      <w:ind w:hanging="0" w:left="0" w:right="0"/>
    </w:pPr>
    <w:rPr/>
  </w:style>
  <w:style w:type="paragraph" w:styleId="IndexHeading">
    <w:name w:val="index heading"/>
    <w:basedOn w:val="Style23"/>
    <w:pPr>
      <w:ind w:hanging="0" w:left="0" w:right="0"/>
    </w:pPr>
    <w:rPr/>
  </w:style>
  <w:style w:type="paragraph" w:styleId="Index1">
    <w:name w:val="index 1"/>
    <w:basedOn w:val="Style24"/>
    <w:pPr>
      <w:ind w:hanging="0" w:left="0" w:right="0"/>
    </w:pPr>
    <w:rPr/>
  </w:style>
  <w:style w:type="paragraph" w:styleId="Index2">
    <w:name w:val="index 2"/>
    <w:basedOn w:val="Style24"/>
    <w:pPr>
      <w:ind w:hanging="0" w:left="0" w:right="0"/>
    </w:pPr>
    <w:rPr/>
  </w:style>
  <w:style w:type="paragraph" w:styleId="Index3">
    <w:name w:val="index 3"/>
    <w:basedOn w:val="Style24"/>
    <w:pPr>
      <w:ind w:hanging="0" w:left="0" w:right="0"/>
    </w:pPr>
    <w:rPr/>
  </w:style>
  <w:style w:type="paragraph" w:styleId="Style28">
    <w:name w:val="Разделитель предметного указателя"/>
    <w:basedOn w:val="Style24"/>
    <w:qFormat/>
    <w:pPr>
      <w:ind w:hanging="0" w:left="0" w:right="0"/>
    </w:pPr>
    <w:rPr/>
  </w:style>
  <w:style w:type="paragraph" w:styleId="TOCHeading">
    <w:name w:val="TOC Heading"/>
    <w:basedOn w:val="Style23"/>
    <w:next w:val="TOC1"/>
    <w:qFormat/>
    <w:pPr>
      <w:ind w:hanging="0" w:left="0" w:right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0">
    <w:name w:val="Заголовок списка объектов"/>
    <w:basedOn w:val="Style23"/>
    <w:qFormat/>
    <w:pPr>
      <w:ind w:hanging="0" w:left="0" w:right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1">
    <w:name w:val="Заголовок списка таблиц"/>
    <w:basedOn w:val="Style23"/>
    <w:qFormat/>
    <w:pPr>
      <w:ind w:hanging="0" w:left="0" w:right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ableofAuthorities">
    <w:name w:val="table of authorities"/>
    <w:basedOn w:val="Style23"/>
    <w:pPr>
      <w:ind w:hanging="0" w:left="0" w:right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left="0" w:right="0"/>
      <w:jc w:val="lef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left="0" w:right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left="0" w:right="0"/>
    </w:pPr>
    <w:rPr/>
  </w:style>
  <w:style w:type="paragraph" w:styleId="Style46">
    <w:name w:val="Заголовок списка"/>
    <w:basedOn w:val="Normal"/>
    <w:next w:val="Style45"/>
    <w:qFormat/>
    <w:pPr>
      <w:ind w:hanging="0" w:left="0" w:right="0"/>
    </w:pPr>
    <w:rPr/>
  </w:style>
  <w:style w:type="paragraph" w:styleId="Style47">
    <w:name w:val="Гриф_Экземпляр"/>
    <w:basedOn w:val="Normal"/>
    <w:qFormat/>
    <w:pPr>
      <w:ind w:hanging="0" w:left="0" w:right="0"/>
    </w:pPr>
    <w:rPr>
      <w:sz w:val="24"/>
    </w:rPr>
  </w:style>
  <w:style w:type="paragraph" w:styleId="Style48">
    <w:name w:val="Исполнитель документа"/>
    <w:basedOn w:val="Normal"/>
    <w:qFormat/>
    <w:pPr>
      <w:jc w:val="lef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left="0" w:right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vernadsky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LibreOffice/24.8.4.2$Linux_X86_64 LibreOffice_project/480$Build-2</Application>
  <AppVersion>15.0000</AppVersion>
  <Pages>5</Pages>
  <Words>1056</Words>
  <Characters>7341</Characters>
  <CharactersWithSpaces>8609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2026-02-13T14:25:24Z</dcterms:created>
  <dc:creator/>
  <dc:description/>
  <dc:language>ru-RU</dc:language>
  <cp:lastModifiedBy/>
  <cp:lastPrinted>2026-02-13T15:09:22Z</cp:lastPrinted>
  <dcterms:modified xsi:type="dcterms:W3CDTF">2026-02-13T15:20:55Z</dcterms:modified>
  <cp:revision>6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