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D6C" w:rsidRPr="007F4B0A" w:rsidRDefault="00FA23F0" w:rsidP="007F4B0A">
      <w:pPr>
        <w:spacing w:after="0" w:line="240" w:lineRule="auto"/>
        <w:ind w:firstLine="10205"/>
        <w:jc w:val="center"/>
        <w:rPr>
          <w:rFonts w:ascii="Times New Roman" w:hAnsi="Times New Roman"/>
          <w:sz w:val="26"/>
          <w:szCs w:val="26"/>
        </w:rPr>
      </w:pPr>
      <w:r>
        <w:rPr>
          <w:rStyle w:val="af0"/>
          <w:rFonts w:ascii="Times New Roman" w:hAnsi="Times New Roman"/>
          <w:b w:val="0"/>
          <w:bCs/>
          <w:sz w:val="26"/>
          <w:szCs w:val="26"/>
        </w:rPr>
        <w:t xml:space="preserve">ПРИЛОЖЕНИЕ </w:t>
      </w:r>
    </w:p>
    <w:p w:rsidR="00F73D6C" w:rsidRDefault="007F4B0A">
      <w:pPr>
        <w:spacing w:after="0" w:line="240" w:lineRule="auto"/>
        <w:ind w:left="10205"/>
        <w:jc w:val="center"/>
        <w:rPr>
          <w:rStyle w:val="af0"/>
          <w:rFonts w:ascii="Times New Roman" w:hAnsi="Times New Roman"/>
          <w:b w:val="0"/>
          <w:sz w:val="26"/>
          <w:szCs w:val="26"/>
        </w:rPr>
      </w:pPr>
      <w:r>
        <w:rPr>
          <w:rStyle w:val="af0"/>
          <w:rFonts w:ascii="Times New Roman" w:hAnsi="Times New Roman"/>
          <w:b w:val="0"/>
          <w:bCs/>
          <w:sz w:val="26"/>
          <w:szCs w:val="26"/>
        </w:rPr>
        <w:t>к распоряжению</w:t>
      </w:r>
      <w:r w:rsidR="00FA23F0">
        <w:rPr>
          <w:rStyle w:val="af0"/>
          <w:rFonts w:ascii="Times New Roman" w:hAnsi="Times New Roman"/>
          <w:b w:val="0"/>
          <w:bCs/>
          <w:sz w:val="26"/>
          <w:szCs w:val="26"/>
        </w:rPr>
        <w:t xml:space="preserve"> администрации Копейского городского округа</w:t>
      </w:r>
    </w:p>
    <w:p w:rsidR="00F73D6C" w:rsidRDefault="00FA23F0">
      <w:pPr>
        <w:spacing w:after="0" w:line="240" w:lineRule="auto"/>
        <w:ind w:firstLine="10205"/>
        <w:jc w:val="center"/>
        <w:rPr>
          <w:rFonts w:ascii="Times New Roman" w:hAnsi="Times New Roman"/>
          <w:sz w:val="26"/>
          <w:szCs w:val="26"/>
        </w:rPr>
      </w:pPr>
      <w:r>
        <w:rPr>
          <w:rStyle w:val="af0"/>
          <w:rFonts w:ascii="Times New Roman" w:hAnsi="Times New Roman"/>
          <w:b w:val="0"/>
          <w:bCs/>
          <w:sz w:val="26"/>
          <w:szCs w:val="26"/>
        </w:rPr>
        <w:t>от</w:t>
      </w:r>
      <w:r w:rsidR="009C7F7A">
        <w:rPr>
          <w:rStyle w:val="af0"/>
          <w:rFonts w:ascii="Times New Roman" w:hAnsi="Times New Roman"/>
          <w:b w:val="0"/>
          <w:bCs/>
          <w:sz w:val="26"/>
          <w:szCs w:val="26"/>
        </w:rPr>
        <w:t xml:space="preserve"> </w:t>
      </w:r>
      <w:r w:rsidR="009C7F7A" w:rsidRPr="009C7F7A">
        <w:rPr>
          <w:rStyle w:val="af0"/>
          <w:rFonts w:ascii="Times New Roman" w:hAnsi="Times New Roman"/>
          <w:b w:val="0"/>
          <w:bCs/>
          <w:sz w:val="26"/>
          <w:szCs w:val="26"/>
          <w:u w:val="single"/>
        </w:rPr>
        <w:t>02.07.2024</w:t>
      </w:r>
      <w:r>
        <w:rPr>
          <w:rStyle w:val="af0"/>
          <w:rFonts w:ascii="Times New Roman" w:hAnsi="Times New Roman"/>
          <w:b w:val="0"/>
          <w:bCs/>
          <w:sz w:val="26"/>
          <w:szCs w:val="26"/>
        </w:rPr>
        <w:t xml:space="preserve"> № </w:t>
      </w:r>
      <w:bookmarkStart w:id="0" w:name="_GoBack"/>
      <w:r w:rsidR="009C7F7A" w:rsidRPr="009C7F7A">
        <w:rPr>
          <w:rStyle w:val="af0"/>
          <w:rFonts w:ascii="Times New Roman" w:hAnsi="Times New Roman"/>
          <w:b w:val="0"/>
          <w:bCs/>
          <w:sz w:val="26"/>
          <w:szCs w:val="26"/>
          <w:u w:val="single"/>
        </w:rPr>
        <w:t>512-р</w:t>
      </w:r>
      <w:r w:rsidRPr="009C7F7A">
        <w:rPr>
          <w:rStyle w:val="af0"/>
          <w:rFonts w:ascii="Times New Roman" w:hAnsi="Times New Roman"/>
          <w:b w:val="0"/>
          <w:bCs/>
          <w:sz w:val="26"/>
          <w:szCs w:val="26"/>
          <w:u w:val="single"/>
        </w:rPr>
        <w:t xml:space="preserve"> </w:t>
      </w:r>
      <w:bookmarkEnd w:id="0"/>
    </w:p>
    <w:p w:rsidR="00F73D6C" w:rsidRDefault="00F73D6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F73D6C" w:rsidRDefault="00F73D6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73D6C" w:rsidRDefault="00FA23F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en-US"/>
        </w:rPr>
        <w:t>II</w:t>
      </w:r>
      <w:r>
        <w:rPr>
          <w:rFonts w:ascii="Times New Roman" w:hAnsi="Times New Roman"/>
          <w:sz w:val="26"/>
          <w:szCs w:val="26"/>
        </w:rPr>
        <w:t>. Ключевые показатели развития конкуренции на товарных рынках</w:t>
      </w:r>
    </w:p>
    <w:p w:rsidR="00F73D6C" w:rsidRDefault="00F73D6C">
      <w:pPr>
        <w:rPr>
          <w:sz w:val="26"/>
          <w:szCs w:val="26"/>
        </w:rPr>
      </w:pPr>
    </w:p>
    <w:tbl>
      <w:tblPr>
        <w:tblW w:w="149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037"/>
        <w:gridCol w:w="1525"/>
        <w:gridCol w:w="1418"/>
        <w:gridCol w:w="1417"/>
        <w:gridCol w:w="45"/>
        <w:gridCol w:w="30"/>
        <w:gridCol w:w="15"/>
        <w:gridCol w:w="15"/>
        <w:gridCol w:w="15"/>
        <w:gridCol w:w="15"/>
        <w:gridCol w:w="90"/>
        <w:gridCol w:w="15"/>
        <w:gridCol w:w="30"/>
        <w:gridCol w:w="15"/>
        <w:gridCol w:w="1274"/>
      </w:tblGrid>
      <w:tr w:rsidR="00F73D6C">
        <w:trPr>
          <w:trHeight w:val="763"/>
        </w:trPr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 ключевого показателя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 01.01.2023</w:t>
            </w:r>
          </w:p>
          <w:p w:rsidR="00F55EE5" w:rsidRDefault="00F55EE5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факт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 01.01.2024</w:t>
            </w:r>
          </w:p>
          <w:p w:rsidR="00F55EE5" w:rsidRDefault="00F55EE5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факт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 01.01.2025</w:t>
            </w:r>
          </w:p>
          <w:p w:rsidR="00F55EE5" w:rsidRDefault="00F55EE5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план</w:t>
            </w:r>
          </w:p>
        </w:tc>
        <w:tc>
          <w:tcPr>
            <w:tcW w:w="1559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 01.01.2026</w:t>
            </w:r>
          </w:p>
          <w:p w:rsidR="00F55EE5" w:rsidRDefault="00F55EE5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план</w:t>
            </w:r>
          </w:p>
        </w:tc>
      </w:tr>
      <w:tr w:rsidR="00F73D6C">
        <w:tc>
          <w:tcPr>
            <w:tcW w:w="1495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D6C" w:rsidRDefault="00FA23F0">
            <w:pPr>
              <w:numPr>
                <w:ilvl w:val="0"/>
                <w:numId w:val="3"/>
              </w:numPr>
              <w:tabs>
                <w:tab w:val="left" w:pos="440"/>
              </w:tabs>
              <w:spacing w:after="0" w:line="240" w:lineRule="auto"/>
              <w:ind w:left="5" w:firstLine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Рынок оказания услуг по сбору и транспортированию твердых коммунальных отходов (далее ТКО)</w:t>
            </w:r>
          </w:p>
        </w:tc>
      </w:tr>
      <w:tr w:rsidR="00F73D6C"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организаций частной формы собственности в сфере услуг по сбору и транспортированию ТКО, процентов*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559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F73D6C"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объема твердых коммунальных отходов, транспортируемых организациями частных форм собственности (не государственными и не муниципальными организациями) и не аффилированными с региональным оператором по обращению с твердыми коммунальными отходами, процентов*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559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F73D6C">
        <w:tc>
          <w:tcPr>
            <w:tcW w:w="1495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D6C" w:rsidRDefault="00FA23F0">
            <w:pPr>
              <w:numPr>
                <w:ilvl w:val="0"/>
                <w:numId w:val="3"/>
              </w:numPr>
              <w:tabs>
                <w:tab w:val="left" w:pos="431"/>
              </w:tabs>
              <w:spacing w:after="0" w:line="240" w:lineRule="auto"/>
              <w:ind w:left="5" w:firstLine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</w:tr>
      <w:tr w:rsidR="00F73D6C"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услуг (работ) по перевозке пассажиров автомобильным транспортом по межмуниципальным маршрутам регулярных перевозок, оказанных (выполненных) организациями частной формы собственности, процентов*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FA23F0" w:rsidP="005C08F4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Не более  50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Pr="0096202F" w:rsidRDefault="0096202F" w:rsidP="005C08F4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6202F">
              <w:rPr>
                <w:rFonts w:ascii="Times New Roman" w:hAnsi="Times New Roman"/>
                <w:sz w:val="26"/>
                <w:szCs w:val="26"/>
              </w:rPr>
              <w:t>45</w:t>
            </w:r>
          </w:p>
        </w:tc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результатам проведения в 2023-2024 гг электронных аукционов</w:t>
            </w:r>
          </w:p>
        </w:tc>
        <w:tc>
          <w:tcPr>
            <w:tcW w:w="1484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результатам проведения в 2023-2024 гг электронных аукционов</w:t>
            </w:r>
          </w:p>
        </w:tc>
      </w:tr>
      <w:tr w:rsidR="00F73D6C">
        <w:tc>
          <w:tcPr>
            <w:tcW w:w="1495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D6C" w:rsidRDefault="00FA23F0">
            <w:pPr>
              <w:numPr>
                <w:ilvl w:val="0"/>
                <w:numId w:val="3"/>
              </w:numPr>
              <w:tabs>
                <w:tab w:val="left" w:pos="425"/>
              </w:tabs>
              <w:spacing w:after="0" w:line="240" w:lineRule="auto"/>
              <w:ind w:left="5" w:firstLine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Рынок услуг розничной торговли лекарственными препаратами, медицинскими изделиями и сопутствующими товарами</w:t>
            </w:r>
          </w:p>
        </w:tc>
      </w:tr>
      <w:tr w:rsidR="00F73D6C"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Доля организаций частной формы собственности в сфере услуг розничной торговли лекарственными препаратами, медицинскими изделиями и сопутствующими товарами, процентов*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4C295B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4C295B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86</w:t>
            </w:r>
          </w:p>
        </w:tc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73D6C" w:rsidRDefault="004C295B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86</w:t>
            </w:r>
          </w:p>
        </w:tc>
        <w:tc>
          <w:tcPr>
            <w:tcW w:w="1484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D6C" w:rsidRDefault="004C295B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86</w:t>
            </w:r>
          </w:p>
        </w:tc>
      </w:tr>
      <w:tr w:rsidR="00F73D6C">
        <w:tc>
          <w:tcPr>
            <w:tcW w:w="1495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D6C" w:rsidRDefault="00FA23F0">
            <w:pPr>
              <w:numPr>
                <w:ilvl w:val="0"/>
                <w:numId w:val="3"/>
              </w:numPr>
              <w:tabs>
                <w:tab w:val="left" w:pos="425"/>
              </w:tabs>
              <w:spacing w:after="0" w:line="240" w:lineRule="auto"/>
              <w:ind w:left="5" w:firstLine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Торговля</w:t>
            </w:r>
          </w:p>
        </w:tc>
      </w:tr>
      <w:tr w:rsidR="00F73D6C"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Увеличение количества нестационарных торговых объектов и торговых мест под них по отношению к 2020 году, процентов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110,9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96202F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88,8</w:t>
            </w: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73D6C" w:rsidRDefault="005C08F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90,0</w:t>
            </w:r>
          </w:p>
        </w:tc>
        <w:tc>
          <w:tcPr>
            <w:tcW w:w="1514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D6C" w:rsidRDefault="005C08F4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93,0</w:t>
            </w:r>
          </w:p>
        </w:tc>
      </w:tr>
      <w:tr w:rsidR="00F73D6C">
        <w:tc>
          <w:tcPr>
            <w:tcW w:w="1495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D6C" w:rsidRDefault="00FA23F0">
            <w:pPr>
              <w:numPr>
                <w:ilvl w:val="0"/>
                <w:numId w:val="3"/>
              </w:numPr>
              <w:tabs>
                <w:tab w:val="left" w:pos="425"/>
              </w:tabs>
              <w:spacing w:after="0" w:line="240" w:lineRule="auto"/>
              <w:ind w:left="5" w:firstLine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Рынок ритуальных услуг </w:t>
            </w:r>
          </w:p>
        </w:tc>
      </w:tr>
      <w:tr w:rsidR="00F73D6C"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кладбищ и мест захоронений на них, сведения о которых включены в реестры кладбищ и мест захоронений на них, от общего количества существующих кладбищ, процентов*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5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45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F73D6C"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организаций частной формы собственности в сфере ритуальных услуг, процентов*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5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45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F73D6C">
        <w:tc>
          <w:tcPr>
            <w:tcW w:w="1495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D6C" w:rsidRDefault="00FA23F0">
            <w:pPr>
              <w:numPr>
                <w:ilvl w:val="0"/>
                <w:numId w:val="3"/>
              </w:numPr>
              <w:tabs>
                <w:tab w:val="left" w:pos="425"/>
              </w:tabs>
              <w:spacing w:after="0" w:line="240" w:lineRule="auto"/>
              <w:ind w:left="5" w:firstLine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Рынок услуг детского отдыха и оздоровления</w:t>
            </w:r>
          </w:p>
        </w:tc>
      </w:tr>
      <w:tr w:rsidR="00F73D6C">
        <w:trPr>
          <w:trHeight w:val="547"/>
        </w:trPr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FA23F0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организаций отдыха и оздоровления частной формы собственности, процентов*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96202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150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73D6C" w:rsidRDefault="005C08F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14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D6C" w:rsidRPr="005637E8" w:rsidRDefault="005C08F4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37E8"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</w:tr>
      <w:tr w:rsidR="00F73D6C">
        <w:tc>
          <w:tcPr>
            <w:tcW w:w="1495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D6C" w:rsidRDefault="00FA23F0">
            <w:pPr>
              <w:numPr>
                <w:ilvl w:val="0"/>
                <w:numId w:val="3"/>
              </w:numPr>
              <w:tabs>
                <w:tab w:val="left" w:pos="440"/>
              </w:tabs>
              <w:spacing w:after="0" w:line="240" w:lineRule="auto"/>
              <w:ind w:left="5" w:firstLine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Рынок теплоснобжения (производство тепловой энергии)</w:t>
            </w:r>
          </w:p>
        </w:tc>
      </w:tr>
      <w:tr w:rsidR="00F73D6C"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организаций частной формы собственности в сфере теплоснабжения (производство тепловой энергии), процентов*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FA23F0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FA23F0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5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73D6C" w:rsidRDefault="00FA23F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45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D6C" w:rsidRDefault="00FA23F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F73D6C">
        <w:tc>
          <w:tcPr>
            <w:tcW w:w="1495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D6C" w:rsidRDefault="00FA23F0">
            <w:pPr>
              <w:numPr>
                <w:ilvl w:val="0"/>
                <w:numId w:val="3"/>
              </w:numPr>
              <w:tabs>
                <w:tab w:val="left" w:pos="425"/>
              </w:tabs>
              <w:spacing w:after="0" w:line="240" w:lineRule="auto"/>
              <w:ind w:left="5" w:firstLine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Рынок выполнения работ по благоустройству городской среды</w:t>
            </w:r>
          </w:p>
        </w:tc>
      </w:tr>
      <w:tr w:rsidR="00F73D6C"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организаций частной формы собственности в сфере выполнения работ по благоустройству городской среды, процентов*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FA23F0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FA23F0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73D6C" w:rsidRDefault="00FA23F0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42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D6C" w:rsidRDefault="00FA23F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F73D6C">
        <w:tc>
          <w:tcPr>
            <w:tcW w:w="1495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D6C" w:rsidRDefault="00FA23F0">
            <w:pPr>
              <w:numPr>
                <w:ilvl w:val="0"/>
                <w:numId w:val="3"/>
              </w:numPr>
              <w:tabs>
                <w:tab w:val="left" w:pos="440"/>
              </w:tabs>
              <w:spacing w:after="0" w:line="240" w:lineRule="auto"/>
              <w:ind w:left="5" w:firstLine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</w:tr>
      <w:tr w:rsidR="00F73D6C"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доме, процентов*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FA23F0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FA23F0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5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73D6C" w:rsidRDefault="00FA23F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43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D6C" w:rsidRDefault="00FA23F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F73D6C">
        <w:tc>
          <w:tcPr>
            <w:tcW w:w="1495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D6C" w:rsidRDefault="00FA23F0">
            <w:pPr>
              <w:numPr>
                <w:ilvl w:val="0"/>
                <w:numId w:val="3"/>
              </w:numPr>
              <w:tabs>
                <w:tab w:val="left" w:pos="440"/>
              </w:tabs>
              <w:spacing w:after="0" w:line="240" w:lineRule="auto"/>
              <w:ind w:left="5" w:firstLine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Рынок услуг связи, в том числе услуг по предоставлению широкополосного доступа к информационно – телекоммуникационной сети Интернет</w:t>
            </w:r>
          </w:p>
        </w:tc>
      </w:tr>
      <w:tr w:rsidR="00F73D6C"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D6C" w:rsidRDefault="00FA23F0">
            <w:pPr>
              <w:spacing w:before="24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Доля организаций частной формы собственности в сфере оказания услуг по предоставлению широкополосного доступа к информационно – телекоммуникационной сети Интернет, процентов*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73D6C" w:rsidRDefault="00F73D6C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73D6C" w:rsidRDefault="00FA23F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F73D6C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73D6C" w:rsidRDefault="00FA23F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65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73D6C" w:rsidRDefault="00F73D6C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73D6C" w:rsidRDefault="00FA23F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1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D6C" w:rsidRDefault="00F73D6C">
            <w:pPr>
              <w:spacing w:line="259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73D6C" w:rsidRDefault="00FA23F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F73D6C">
        <w:tc>
          <w:tcPr>
            <w:tcW w:w="1495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D6C" w:rsidRDefault="00FA23F0">
            <w:pPr>
              <w:numPr>
                <w:ilvl w:val="0"/>
                <w:numId w:val="3"/>
              </w:numPr>
              <w:tabs>
                <w:tab w:val="left" w:pos="410"/>
              </w:tabs>
              <w:spacing w:after="0" w:line="240" w:lineRule="auto"/>
              <w:ind w:left="5" w:firstLine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Рынок дорожной деятельности (за исключением проектирования)</w:t>
            </w:r>
          </w:p>
        </w:tc>
      </w:tr>
      <w:tr w:rsidR="00F73D6C"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организаций частной формы собственности в сфере дорожной деятельности (за исключением проектирования), процентов*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6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3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F73D6C">
        <w:tc>
          <w:tcPr>
            <w:tcW w:w="1495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D6C" w:rsidRDefault="00FA23F0">
            <w:pPr>
              <w:numPr>
                <w:ilvl w:val="0"/>
                <w:numId w:val="3"/>
              </w:numPr>
              <w:tabs>
                <w:tab w:val="left" w:pos="440"/>
              </w:tabs>
              <w:spacing w:after="0" w:line="240" w:lineRule="auto"/>
              <w:ind w:left="5" w:firstLine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Рынок легкой промышленности</w:t>
            </w:r>
          </w:p>
        </w:tc>
      </w:tr>
      <w:tr w:rsidR="00F73D6C"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организаций частной формы собственности в сфере легкой промышленности, процентов*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6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3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F73D6C">
        <w:tc>
          <w:tcPr>
            <w:tcW w:w="1495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D6C" w:rsidRDefault="00FA23F0">
            <w:pPr>
              <w:numPr>
                <w:ilvl w:val="0"/>
                <w:numId w:val="3"/>
              </w:numPr>
              <w:tabs>
                <w:tab w:val="left" w:pos="440"/>
              </w:tabs>
              <w:spacing w:after="0" w:line="240" w:lineRule="auto"/>
              <w:ind w:left="5" w:firstLine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Рынок поставки сжиженного газа в баллонах</w:t>
            </w:r>
          </w:p>
        </w:tc>
      </w:tr>
      <w:tr w:rsidR="00F73D6C"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организаций частной формы собственности в сфере поставки сжиженного газа в баллонах, процентов*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EF0574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65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73D6C" w:rsidRDefault="006D1881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31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D6C" w:rsidRDefault="006D1881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F73D6C">
        <w:tc>
          <w:tcPr>
            <w:tcW w:w="1495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D6C" w:rsidRDefault="00FA23F0">
            <w:pPr>
              <w:numPr>
                <w:ilvl w:val="0"/>
                <w:numId w:val="3"/>
              </w:numPr>
              <w:tabs>
                <w:tab w:val="left" w:pos="425"/>
              </w:tabs>
              <w:spacing w:after="0" w:line="240" w:lineRule="auto"/>
              <w:ind w:left="5" w:firstLine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Рынок оказания услуг по ремонту автотранспортных средств</w:t>
            </w:r>
          </w:p>
        </w:tc>
      </w:tr>
      <w:tr w:rsidR="00F73D6C"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FA23F0">
            <w:pPr>
              <w:spacing w:before="24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организаций частной формы собственности в сфере оказания услуг по ремонту автотранспортных средств, процентов*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F73D6C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73D6C" w:rsidRDefault="00FA23F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F73D6C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73D6C" w:rsidRDefault="00FA23F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70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73D6C" w:rsidRDefault="00F73D6C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73D6C" w:rsidRDefault="00FA23F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D6C" w:rsidRDefault="00F73D6C">
            <w:pPr>
              <w:spacing w:line="259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73D6C" w:rsidRDefault="00FA23F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F73D6C">
        <w:tc>
          <w:tcPr>
            <w:tcW w:w="1495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D6C" w:rsidRDefault="00FA23F0">
            <w:pPr>
              <w:numPr>
                <w:ilvl w:val="0"/>
                <w:numId w:val="3"/>
              </w:numPr>
              <w:tabs>
                <w:tab w:val="left" w:pos="440"/>
              </w:tabs>
              <w:spacing w:after="0" w:line="240" w:lineRule="auto"/>
              <w:ind w:left="5" w:firstLine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Сфера наружной рекламы</w:t>
            </w:r>
          </w:p>
        </w:tc>
      </w:tr>
      <w:tr w:rsidR="00F73D6C"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FA23F0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организаций частной формы собственности в сфере наружной рекламы, процентов*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6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D6C" w:rsidRDefault="00FA23F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</w:tbl>
    <w:p w:rsidR="00F73D6C" w:rsidRDefault="00FA23F0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* в соответствии с Методикой расчета ключевого показателя, утвержденной приказом ФАС России от 29.08.2018 № 1232/18</w:t>
      </w:r>
    </w:p>
    <w:p w:rsidR="00F73D6C" w:rsidRDefault="00F73D6C">
      <w:pPr>
        <w:spacing w:after="0" w:line="240" w:lineRule="auto"/>
        <w:jc w:val="center"/>
        <w:rPr>
          <w:szCs w:val="26"/>
        </w:rPr>
      </w:pPr>
    </w:p>
    <w:p w:rsidR="00F73D6C" w:rsidRDefault="00F73D6C">
      <w:pPr>
        <w:spacing w:after="0" w:line="240" w:lineRule="auto"/>
        <w:jc w:val="center"/>
        <w:rPr>
          <w:szCs w:val="26"/>
        </w:rPr>
      </w:pPr>
    </w:p>
    <w:p w:rsidR="00F73D6C" w:rsidRDefault="00F73D6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7F4B0A" w:rsidRDefault="007F4B0A">
      <w:pPr>
        <w:spacing w:line="259" w:lineRule="auto"/>
        <w:jc w:val="center"/>
        <w:rPr>
          <w:rFonts w:ascii="Times New Roman" w:hAnsi="Times New Roman"/>
          <w:sz w:val="26"/>
          <w:szCs w:val="26"/>
        </w:rPr>
      </w:pPr>
    </w:p>
    <w:p w:rsidR="007F4B0A" w:rsidRDefault="007F4B0A">
      <w:pPr>
        <w:spacing w:line="259" w:lineRule="auto"/>
        <w:jc w:val="center"/>
        <w:rPr>
          <w:rFonts w:ascii="Times New Roman" w:hAnsi="Times New Roman"/>
          <w:sz w:val="26"/>
          <w:szCs w:val="26"/>
        </w:rPr>
      </w:pPr>
    </w:p>
    <w:p w:rsidR="00F73D6C" w:rsidRDefault="00FA23F0">
      <w:pPr>
        <w:spacing w:line="259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en-US"/>
        </w:rPr>
        <w:t>III</w:t>
      </w:r>
      <w:r>
        <w:rPr>
          <w:rFonts w:ascii="Times New Roman" w:hAnsi="Times New Roman"/>
          <w:sz w:val="26"/>
          <w:szCs w:val="26"/>
        </w:rPr>
        <w:t>. План мероприятий («дорожная карта») по содействию развитию конкуренции в городском округе</w:t>
      </w:r>
      <w:r>
        <w:rPr>
          <w:rFonts w:ascii="Times New Roman" w:hAnsi="Times New Roman"/>
          <w:sz w:val="26"/>
          <w:szCs w:val="26"/>
        </w:rPr>
        <w:br/>
        <w:t>на 202</w:t>
      </w:r>
      <w:r w:rsidR="00567651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>-2025 годы</w:t>
      </w:r>
    </w:p>
    <w:p w:rsidR="00F73D6C" w:rsidRDefault="00FA23F0">
      <w:pPr>
        <w:pStyle w:val="af"/>
        <w:numPr>
          <w:ilvl w:val="0"/>
          <w:numId w:val="10"/>
        </w:num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Мероприятия на товарных рынках</w:t>
      </w:r>
    </w:p>
    <w:tbl>
      <w:tblPr>
        <w:tblW w:w="15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5873"/>
        <w:gridCol w:w="4677"/>
        <w:gridCol w:w="1731"/>
        <w:gridCol w:w="2097"/>
      </w:tblGrid>
      <w:tr w:rsidR="00F73D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Наименование мероприятия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Ожидаемый результат (цель)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Срок реализации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Ответственные исполнители (соисполнители)</w:t>
            </w:r>
          </w:p>
        </w:tc>
      </w:tr>
      <w:tr w:rsidR="00F73D6C">
        <w:tc>
          <w:tcPr>
            <w:tcW w:w="150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Рынок услуг по сбору и транспортированию твердых коммунальных отходов</w:t>
            </w:r>
          </w:p>
        </w:tc>
      </w:tr>
      <w:tr w:rsidR="00F73D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Развитие системы селективного сбора ТКО: устройство контейнерных площадок установка новых контейнеров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Создание условий, обеспечивающих наиболее комфортные условия для проживания, работы и отдыха  населения городского округа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 w:rsidP="0056765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</w:t>
            </w:r>
            <w:r w:rsidR="005676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- 2025 годы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Отдел экологии администрации городского округа (далее – отдел экологии)</w:t>
            </w:r>
          </w:p>
        </w:tc>
      </w:tr>
      <w:tr w:rsidR="00F73D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Стимулирование новых предпринимательских инициатив и частной инициативы по транспортированию ТКО посредством проведения «круглых столов», вебинаров, консультаций с действующими и потенциальными предпринимателями и коммерческими организациями.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Образовательные мероприятия могут обеспечить возможность для поиска, отбора и обучения потенциальных предпринимателей и некоммерческих организаций с целью стимулирования новых предпринимательских инициатив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 w:rsidP="0056765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</w:t>
            </w:r>
            <w:r w:rsidR="005676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- 2025 годы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Отдел экологии </w:t>
            </w:r>
          </w:p>
        </w:tc>
      </w:tr>
      <w:tr w:rsidR="00F73D6C">
        <w:tc>
          <w:tcPr>
            <w:tcW w:w="150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В 202</w:t>
            </w:r>
            <w:r w:rsidR="007626F5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году </w:t>
            </w:r>
            <w:r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</w:rPr>
              <w:t xml:space="preserve">в рамках муниципальной программы «Охрана окружающей среды Копейского городского округа» денежные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средства в размере </w:t>
            </w:r>
            <w:r w:rsidR="00B50C65">
              <w:rPr>
                <w:rFonts w:ascii="Times New Roman" w:eastAsia="Times New Roman" w:hAnsi="Times New Roman"/>
                <w:sz w:val="26"/>
                <w:szCs w:val="26"/>
              </w:rPr>
              <w:t>5248,34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рублей (в том числе областной бюджет </w:t>
            </w:r>
            <w:r w:rsidR="00B50C65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B50C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3227,27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рублей, местный бюджет -</w:t>
            </w:r>
            <w:r w:rsidR="00B50C65">
              <w:rPr>
                <w:rFonts w:ascii="Times New Roman" w:eastAsia="Times New Roman" w:hAnsi="Times New Roman"/>
                <w:sz w:val="26"/>
                <w:szCs w:val="26"/>
              </w:rPr>
              <w:t>2000,00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рублей) направлены на:</w:t>
            </w:r>
          </w:p>
          <w:p w:rsidR="00F73D6C" w:rsidRDefault="00FA23F0">
            <w:pPr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- приобретение </w:t>
            </w:r>
            <w:r w:rsidR="00B50C65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1 евро контейнеров для сбора ТКО объемом 1,1 куб. м. каждый;</w:t>
            </w:r>
          </w:p>
          <w:p w:rsidR="00F73D6C" w:rsidRDefault="00B50C65">
            <w:pPr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- обустройство 39</w:t>
            </w:r>
            <w:r w:rsidR="00FA23F0">
              <w:rPr>
                <w:rFonts w:ascii="Times New Roman" w:eastAsia="Times New Roman" w:hAnsi="Times New Roman"/>
                <w:sz w:val="26"/>
                <w:szCs w:val="26"/>
              </w:rPr>
              <w:t xml:space="preserve"> контейнерн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ых</w:t>
            </w:r>
            <w:r w:rsidR="00FA23F0">
              <w:rPr>
                <w:rFonts w:ascii="Times New Roman" w:eastAsia="Times New Roman" w:hAnsi="Times New Roman"/>
                <w:sz w:val="26"/>
                <w:szCs w:val="26"/>
              </w:rPr>
              <w:t xml:space="preserve"> площад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о</w:t>
            </w:r>
            <w:r w:rsidR="00FA23F0">
              <w:rPr>
                <w:rFonts w:ascii="Times New Roman" w:eastAsia="Times New Roman" w:hAnsi="Times New Roman"/>
                <w:sz w:val="26"/>
                <w:szCs w:val="26"/>
              </w:rPr>
              <w:t xml:space="preserve">к, в соответствии с требованиями СанПиН 2.1.3684-21.  </w:t>
            </w:r>
          </w:p>
          <w:p w:rsidR="00F73D6C" w:rsidRDefault="00FA23F0">
            <w:pPr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color w:val="000000"/>
                <w:sz w:val="26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6"/>
                <w:szCs w:val="26"/>
              </w:rPr>
              <w:t>На территории городского округа:</w:t>
            </w:r>
          </w:p>
          <w:p w:rsidR="00F73D6C" w:rsidRDefault="00FA23F0">
            <w:pPr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6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6"/>
                <w:szCs w:val="26"/>
              </w:rPr>
              <w:lastRenderedPageBreak/>
              <w:t xml:space="preserve">-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уровень обеспеченности контейнерным сбором ТКО составил </w:t>
            </w:r>
            <w:r w:rsidR="00B50C65">
              <w:rPr>
                <w:rFonts w:ascii="Times New Roman" w:eastAsia="Times New Roman" w:hAnsi="Times New Roman"/>
                <w:sz w:val="26"/>
                <w:szCs w:val="26"/>
              </w:rPr>
              <w:t>79,91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%;</w:t>
            </w:r>
          </w:p>
          <w:p w:rsidR="00F73D6C" w:rsidRPr="00FA23F0" w:rsidRDefault="00FA23F0">
            <w:pPr>
              <w:pStyle w:val="Standard"/>
              <w:ind w:firstLine="283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- уровень обустройства контейнерных площадок составил </w:t>
            </w:r>
            <w:r w:rsidR="00B50C6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57,35</w:t>
            </w:r>
            <w: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 %.</w:t>
            </w:r>
          </w:p>
          <w:p w:rsidR="00F73D6C" w:rsidRDefault="00FA23F0">
            <w:pPr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Мероприятия по обустройству мест (площадок) накопления твердых коммунальных отходов (контейнерных площадок) будут </w:t>
            </w:r>
            <w:r w:rsidR="00B50C65">
              <w:rPr>
                <w:rFonts w:ascii="Times New Roman" w:eastAsia="Times New Roman" w:hAnsi="Times New Roman"/>
                <w:sz w:val="26"/>
                <w:szCs w:val="26"/>
              </w:rPr>
              <w:t>продолжены в 2024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году.</w:t>
            </w:r>
          </w:p>
          <w:p w:rsidR="00F73D6C" w:rsidRDefault="00FA23F0" w:rsidP="00B50C65">
            <w:pPr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В 202</w:t>
            </w:r>
            <w:r w:rsidR="00B50C65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г. «круглые столы», вебинары по вопросам транспортировки ТКО не проводились. Субъекты предпринимательства по вопросу ведения деятельности в указанной сфере за консультацией не обращались.</w:t>
            </w:r>
          </w:p>
        </w:tc>
      </w:tr>
      <w:tr w:rsidR="00F73D6C">
        <w:tc>
          <w:tcPr>
            <w:tcW w:w="150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2. 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</w:tr>
      <w:tr w:rsidR="00F73D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сбор, анализ и формирование предложений о внесении изменений в маршрутную сеть муниципального образования, а также сеть межмуниципальных маршрутов регулярных перевозок, проходящих через муниципальное образование, путём отмены, изменения, установления маршрутов регулярных перевозок с целью удовлетворения потребности населения в транспортном обслуживании на территории муниципального образования.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Удовлетворение в полном объёме потребностей населения в перевозках, развитие сектора регулярных перевозок в населённых пунктах муниципального образования с неудовлетворительной транспортной доступностью населения.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567651" w:rsidP="005676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2024</w:t>
            </w:r>
            <w:r w:rsidR="00FA23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– 202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</w:t>
            </w:r>
            <w:r w:rsidR="00FA23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годы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Управление городского хозяйства администрации городского округа (далее – УГХ); Муниципальное унитарное предприятие  «Копейское пассажирское автопредприятие» (далее – МУП КПА)</w:t>
            </w:r>
          </w:p>
        </w:tc>
      </w:tr>
      <w:tr w:rsidR="00F73D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Размещение информации о расписании общественного транспорта общего пользования и схем движения на остановочных пунктах, разворотных площадках и транспортно-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пересадочных узлах улично-дорожной сети муниципального образования, а также размещение расписания, схем движения и контактных данных уполномоченных в обеспечении организации движения общественного транспорта по маршрутам регулярных перевозок на территории муниципального образования отделов (лиц) органов местного самоуправления, перевозчиков, органов субъекта федерации и контролирующих органов в открытом доступе в информационно-телекоммуникационной сети Интернет с целью обеспечения максимальной доступности информации и прозрачности условий работы на рынке пассажирских перевозок наземным транспортом.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 xml:space="preserve">Обеспечение максимальной доступности информации и прозрачности условий работы на рынке пассажирских перевозок наземным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транспортом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5676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2024</w:t>
            </w:r>
            <w:r w:rsidR="00FA23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– 2025 годы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УГХ; </w:t>
            </w:r>
          </w:p>
          <w:p w:rsidR="00F73D6C" w:rsidRDefault="00FA23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МУП КПА;</w:t>
            </w:r>
          </w:p>
          <w:p w:rsidR="00F73D6C" w:rsidRDefault="00F73D6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F73D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3)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Создание и развитие частного сектора по перевозке пассажиров автотранспортом по муниципальным маршрутам регулярных перевозок, путём реорганизации Муниципальных унитарных предприятий, осуществляющих данный вид деятельности в иные организационно-правовые формы, создание благоприятных условий субъектам транспортной инфраструктуры, создание условий, обеспечивающих безопасное и качественное предоставление услуг по перевозке пассажиров.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Увеличение количества перевозчиков негосударственных форм собственности, обеспечение условий безопасного и качественного предоставления услуг по перевозке пассажиров.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 w:rsidP="005676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</w:t>
            </w:r>
            <w:r w:rsidR="0056765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– 2025 годы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УГХ;</w:t>
            </w:r>
          </w:p>
          <w:p w:rsidR="00F73D6C" w:rsidRDefault="00B50C6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МУП КПА</w:t>
            </w:r>
          </w:p>
          <w:p w:rsidR="00F73D6C" w:rsidRDefault="00F73D6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F73D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Участие в совместных мероприятиях с уполномоченными органами федеральной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исполнительной власти и исполнительной власти муниципального образования по пресечению деятельности по перевозке пассажиров по муниципальным и межмуниципальным маршрутам регулярных перевозок на территории муниципального образования без заключенных контрактов или выданных свидетельств об осуществлении перевозок по маршрутам регулярных перевозок.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 xml:space="preserve">Контроль за обеспечением на рынке только легальных перевозчиков,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вытеснение с рынка нелегальных перевозчиков, в случае их выявления.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5676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2024</w:t>
            </w:r>
            <w:r w:rsidR="00FA23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– 2025 годы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УГХ; МУП КПА</w:t>
            </w:r>
          </w:p>
        </w:tc>
      </w:tr>
      <w:tr w:rsidR="00F73D6C">
        <w:tc>
          <w:tcPr>
            <w:tcW w:w="150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ED" w:rsidRDefault="00FA23F0" w:rsidP="00F776ED">
            <w:pPr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В соответствии с Законом Челябинской области от 30.12.2019 № 71-ЗО «О перераспределении полномочий по организации регулярных перевозок пассажиров и багажа по муниципальным маршрутам регулярных перевозок между органами местного самоуправления Челябинского городского округа, Копейского городского округа, Сосновского муниципального района и органами государственной власти Челябинской области» все полномочия по организации маршрутной сети и развитию конкуренции рынка оказания услуг по перевозке пассажиров автомобильным транспортом по муниципальным маршрутам регулярных перевозок городского округа являются компетенцией органов исполнительной власти Челябинской области.</w:t>
            </w:r>
          </w:p>
          <w:p w:rsidR="005C08F4" w:rsidRDefault="00F776ED" w:rsidP="00F776ED">
            <w:pPr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F776E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Полномочиями по установлению, изменению и отмене муниципальных маршрутов регулярных перевозок городского округа обладает только Министерство дорожного хозяйства и транспорта Челябинской области. Право перевозчика на осуществление перевозок по муниципальным маршрутам регулярных перевозок по регулируемому тарифу определяется по результатам проведения открытых аукционов не зависимо от форм собственности участников данных процедур. </w:t>
            </w:r>
          </w:p>
          <w:p w:rsidR="00F776ED" w:rsidRPr="00F776ED" w:rsidRDefault="00F776ED" w:rsidP="00F776ED">
            <w:pPr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776E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Контроль за обеспечением условий безопасного и качественного предоставления услуг по перевозке пассажиров осуществляет ОГКУ «Организатор перевозок Челябинской области» и органы исполнительной власти Ространснадзора.</w:t>
            </w:r>
          </w:p>
          <w:p w:rsidR="00531FF0" w:rsidRPr="004A6D4F" w:rsidRDefault="00F776ED">
            <w:pPr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A6D4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На территории городского округа для удобства населения </w:t>
            </w:r>
            <w:r w:rsidRPr="004A6D4F">
              <w:rPr>
                <w:rFonts w:ascii="Times New Roman" w:hAnsi="Times New Roman"/>
                <w:sz w:val="26"/>
                <w:szCs w:val="26"/>
              </w:rPr>
              <w:t>отменён один дублирующий маршрут по регулируемому тарифу (№2К), добавлены рейсы на четыре муниципальных маршрута по регулируемому тарифу (№№ 2, 5, 10, 18К), переведены на регулируемый тариф два межмуниципальных маршрута регулярных перевозок, проходящие через Копейский городской округ (№№128 и 172).</w:t>
            </w:r>
          </w:p>
          <w:p w:rsidR="004A6D4F" w:rsidRPr="004A6D4F" w:rsidRDefault="004A6D4F" w:rsidP="004A6D4F">
            <w:pPr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6D4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В 2023 году</w:t>
            </w:r>
            <w:r w:rsidR="00F776ED" w:rsidRPr="004A6D4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 w:rsidRPr="004A6D4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оборудовано 36 </w:t>
            </w:r>
            <w:r w:rsidR="00F776ED" w:rsidRPr="004A6D4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новых остановочных павильонов</w:t>
            </w:r>
            <w:r w:rsidRPr="004A6D4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  В каждом павильоне имеется</w:t>
            </w:r>
            <w:r w:rsidR="00F776ED" w:rsidRPr="004A6D4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 w:rsidR="00F776ED" w:rsidRPr="004A6D4F">
              <w:rPr>
                <w:rFonts w:ascii="Times New Roman" w:hAnsi="Times New Roman"/>
                <w:sz w:val="26"/>
                <w:szCs w:val="26"/>
              </w:rPr>
              <w:t>схем</w:t>
            </w:r>
            <w:r w:rsidRPr="004A6D4F">
              <w:rPr>
                <w:rFonts w:ascii="Times New Roman" w:hAnsi="Times New Roman"/>
                <w:sz w:val="26"/>
                <w:szCs w:val="26"/>
              </w:rPr>
              <w:t>а</w:t>
            </w:r>
            <w:r w:rsidR="00F776ED" w:rsidRPr="004A6D4F">
              <w:rPr>
                <w:rFonts w:ascii="Times New Roman" w:hAnsi="Times New Roman"/>
                <w:sz w:val="26"/>
                <w:szCs w:val="26"/>
              </w:rPr>
              <w:t xml:space="preserve"> городских маршрутов</w:t>
            </w:r>
            <w:r w:rsidR="00F776ED" w:rsidRPr="004A6D4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, с возможностью доступа для замены информации.</w:t>
            </w:r>
            <w:r w:rsidRPr="004A6D4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Так же, в рамках ремонта автомобильных дорог выполнен ремонт дорожного покрытия и, посадочных площадок на всем протяжении автодорог по ул. Пестеля, п. Горняк, П. Потанино и П. Железнодорожный.</w:t>
            </w:r>
          </w:p>
          <w:p w:rsidR="004A6D4F" w:rsidRDefault="004A6D4F" w:rsidP="004A6D4F">
            <w:pPr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A6D4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В </w:t>
            </w:r>
            <w:r w:rsidR="00F776ED" w:rsidRPr="004A6D4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2024 запланировано проведение мероприятий по приведению остановочных пунктов в нормативное состояние, включая обустройство посадочными площадками, установку новых павильонов (при их отсутствии и наличии технической возможности для </w:t>
            </w:r>
            <w:r w:rsidR="00F776ED" w:rsidRPr="004A6D4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 xml:space="preserve">установки). </w:t>
            </w:r>
          </w:p>
          <w:p w:rsidR="004A6D4F" w:rsidRPr="004A6D4F" w:rsidRDefault="004A6D4F" w:rsidP="004A6D4F">
            <w:pPr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A6D4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Перевозчики, осуществляющие перевозку пассажиров и багажа, без заключенных контрактов, выданных свидетельств и карт маршрута регулярных перевозок отсутствуют.</w:t>
            </w:r>
          </w:p>
        </w:tc>
      </w:tr>
      <w:tr w:rsidR="00F73D6C">
        <w:tc>
          <w:tcPr>
            <w:tcW w:w="150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3. Рынок услуг розничной торговли лекарственными препаратами, медицинскими изделиями</w:t>
            </w:r>
          </w:p>
        </w:tc>
      </w:tr>
      <w:tr w:rsidR="00F73D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оказание консультационной помощи субъектам малого и среднего предпринимательства по вопросам лицензирования фармацевтической деятельности, а также по организации торговой деятельности и соблюдению законодательства в сфере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Повышение информационной грамотности предпринимателей, осуществляющих хозяйственную деятельность на рынке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56765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2024</w:t>
            </w:r>
            <w:r w:rsidR="00FA23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- 2025 годы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Управление экономического развития администрации городского округа (далее – УЭР)</w:t>
            </w:r>
          </w:p>
        </w:tc>
      </w:tr>
      <w:tr w:rsidR="00F73D6C">
        <w:tc>
          <w:tcPr>
            <w:tcW w:w="150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городском округе </w:t>
            </w:r>
            <w:r w:rsidRPr="008269F8">
              <w:rPr>
                <w:rFonts w:ascii="Times New Roman" w:hAnsi="Times New Roman" w:cs="Times New Roman"/>
                <w:sz w:val="26"/>
                <w:szCs w:val="26"/>
              </w:rPr>
              <w:t>насчитывается 5</w:t>
            </w:r>
            <w:r w:rsidR="008269F8" w:rsidRPr="008269F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8269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объектов розничной торговли лекарственными препаратами, медицинскими изделиями и  сопутствующими товарами.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Основную долю рынка занимают юридические лица частной формы собственности.</w:t>
            </w:r>
          </w:p>
          <w:p w:rsidR="00F73D6C" w:rsidRDefault="00FA23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Основными проблемами на рынке услуг розничной торговли лекарственными препаратами, медицинскими изделиями являются:</w:t>
            </w:r>
          </w:p>
          <w:p w:rsidR="00F73D6C" w:rsidRDefault="00FA23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закрытие аптечных организаций и снижение уровня доступности фармацевтической деятельности для населения из отдаленных местностей городского округа в связи с реструктуризацией аптечной сети;</w:t>
            </w:r>
          </w:p>
          <w:p w:rsidR="00F73D6C" w:rsidRDefault="00FA23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нерентабельность розничной торговли лекарственными препаратами в сельских поселениях с малым числом жителей;</w:t>
            </w:r>
          </w:p>
          <w:p w:rsidR="00F73D6C" w:rsidRDefault="00FA23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низкая платежеспособность сельского населения;</w:t>
            </w:r>
          </w:p>
          <w:p w:rsidR="00F73D6C" w:rsidRDefault="00FA23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низкая укомплектованность кадрами, имеющими право осуществлять розничную торговлю лекарственными препаратами, в сельской местности;</w:t>
            </w:r>
          </w:p>
          <w:p w:rsidR="00F73D6C" w:rsidRDefault="00FA23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отсутствие достаточных финансовых средств для приобретения (аренды) недвижимости, необходимой для размещения аптечных пунктов, в том числе для оснащения рабочих мест по отпуску и хранению лекарственных препаратов.</w:t>
            </w:r>
          </w:p>
          <w:p w:rsidR="00F73D6C" w:rsidRDefault="00FA23F0" w:rsidP="0050577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Административных барьеров для входа на рынок услуг розничной торговли лекарственными препаратами, медицинскими изделиями и сопутствующими товарами нет. </w:t>
            </w:r>
          </w:p>
        </w:tc>
      </w:tr>
      <w:tr w:rsidR="00F73D6C">
        <w:tc>
          <w:tcPr>
            <w:tcW w:w="150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4. Торговля</w:t>
            </w:r>
          </w:p>
        </w:tc>
      </w:tr>
      <w:tr w:rsidR="00F73D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1)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проведение открытых опросов субъектов предпринимательской деятельности в целях определения спроса/потребности в предоставлении мест под размещение нестационарных торговых объектов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увеличение количества нестационарных и мобильных торговых объектов и торговых мест под них не менее чем на 10 процентов к 2025 году по отношению к 2020 году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 w:rsidP="0056765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</w:t>
            </w:r>
            <w:r w:rsidR="005676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- 2024 годы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Управление по имуществу и земельным отношениям администрации городского округа (далее – УИЗО);</w:t>
            </w:r>
          </w:p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УЭР</w:t>
            </w:r>
          </w:p>
        </w:tc>
      </w:tr>
      <w:tr w:rsidR="00F73D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ведение торгового реестра городского округа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создание системы информационного обеспечения в области торговой деятельности городского округа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56765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2024</w:t>
            </w:r>
            <w:r w:rsidR="00FA23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- 2025 годы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УЭР</w:t>
            </w:r>
          </w:p>
        </w:tc>
      </w:tr>
      <w:tr w:rsidR="00F73D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актуализация сведений и предоставление дислокации о торговых объектах, объектах общественного питания и бытового обслуживания населения, расположенных на территории городского округа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создание системы информационного обеспечения в области торговой деятельности городского округа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567651" w:rsidP="0056765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2024</w:t>
            </w:r>
            <w:r w:rsidR="00FA23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- 2025 годы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УЭР</w:t>
            </w:r>
          </w:p>
        </w:tc>
      </w:tr>
      <w:tr w:rsidR="00F73D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актуализация реестра и плана организации розничных рынков городского округа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стимулирование развития розничной торговли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56765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2024</w:t>
            </w:r>
            <w:r w:rsidR="00FA23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- 2025 годы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УЭР</w:t>
            </w:r>
          </w:p>
        </w:tc>
      </w:tr>
      <w:tr w:rsidR="00F73D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определение и организация новых точек для развития (открытия) юридическими и физическими лицами новых торговых объектов всех форм торговли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увеличение количества нестационарных торговых объектов и различных форм малоформатной торговли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56765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2024</w:t>
            </w:r>
            <w:r w:rsidR="00FA23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- 2025 годы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УЭР; УИЗО</w:t>
            </w:r>
          </w:p>
        </w:tc>
      </w:tr>
      <w:tr w:rsidR="00F73D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6)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включение новых мест для размещения нестационарных торговых объектов (киосков, павильонов) в схемы размещения нестационарных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торговых объектов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 xml:space="preserve">развитие торговли с использованием нестационарных торговых объектов на территории городского округа,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размещение доступной информации о компенсационных местах для размещения нестационарных торговых объектов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56765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2024</w:t>
            </w:r>
            <w:r w:rsidR="00FA23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- 2025 годы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УИЗО</w:t>
            </w:r>
          </w:p>
        </w:tc>
      </w:tr>
      <w:tr w:rsidR="00F73D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7)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мониторинг розничных цен на определенный перечень социально значимых товаров в разрезе ряда муниципальных образований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анализ ценовой ситуации на продовольственном рынке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56765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2024</w:t>
            </w:r>
            <w:r w:rsidR="00FA23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- 2025 годы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УЭР</w:t>
            </w:r>
          </w:p>
        </w:tc>
      </w:tr>
      <w:tr w:rsidR="00F73D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консультационное и информационно-аналитическое обеспечение участников потребительского рынка, в том числе путем проведения семинаров, совещаний, круглых столов для субъектов предпринимательской деятельности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доведение актуальной информации до предпринимательского сообщества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56765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2024</w:t>
            </w:r>
            <w:r w:rsidR="00FA23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- 2025 годы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УЭР;</w:t>
            </w:r>
          </w:p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УИЗО;</w:t>
            </w:r>
          </w:p>
          <w:p w:rsidR="00F73D6C" w:rsidRDefault="006C428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Управление архитектуры и  градостроительства администрации городского округа (далее – </w:t>
            </w:r>
            <w:r w:rsidR="00FA23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а</w:t>
            </w:r>
            <w:r w:rsidR="00FA23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иГ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)</w:t>
            </w:r>
          </w:p>
        </w:tc>
      </w:tr>
      <w:tr w:rsidR="00F73D6C">
        <w:tc>
          <w:tcPr>
            <w:tcW w:w="150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E1" w:rsidRDefault="0050577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 состоянию на 1 января 2024</w:t>
            </w:r>
            <w:r w:rsidR="00FA23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года в городском округе торговую деятельность осуществляют </w:t>
            </w:r>
            <w:r w:rsidR="00BE00E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866</w:t>
            </w:r>
            <w:r w:rsidR="00FA23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предприятий торговли. </w:t>
            </w:r>
          </w:p>
          <w:p w:rsidR="00F73D6C" w:rsidRDefault="0078497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 течение 2023</w:t>
            </w:r>
            <w:r w:rsidR="00FA23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год проведено </w:t>
            </w:r>
            <w:r w:rsidR="009858EE">
              <w:rPr>
                <w:rFonts w:ascii="Times New Roman" w:hAnsi="Times New Roman"/>
                <w:sz w:val="26"/>
                <w:szCs w:val="26"/>
              </w:rPr>
              <w:t>3</w:t>
            </w:r>
            <w:r w:rsidR="00FA23F0">
              <w:rPr>
                <w:rFonts w:ascii="Times New Roman" w:hAnsi="Times New Roman"/>
                <w:sz w:val="26"/>
                <w:szCs w:val="26"/>
              </w:rPr>
              <w:t xml:space="preserve"> аукциона на предоставление торговых мест для размещения объектов сезонной торговли (заключен </w:t>
            </w:r>
            <w:r w:rsidR="00FA23F0" w:rsidRPr="009858EE">
              <w:rPr>
                <w:rFonts w:ascii="Times New Roman" w:hAnsi="Times New Roman"/>
                <w:sz w:val="26"/>
                <w:szCs w:val="26"/>
              </w:rPr>
              <w:t>3</w:t>
            </w:r>
            <w:r w:rsidR="009858EE">
              <w:rPr>
                <w:rFonts w:ascii="Times New Roman" w:hAnsi="Times New Roman"/>
                <w:sz w:val="26"/>
                <w:szCs w:val="26"/>
              </w:rPr>
              <w:t>9</w:t>
            </w:r>
            <w:r w:rsidR="00FA23F0">
              <w:rPr>
                <w:rFonts w:ascii="Times New Roman" w:hAnsi="Times New Roman"/>
                <w:sz w:val="26"/>
                <w:szCs w:val="26"/>
              </w:rPr>
              <w:t xml:space="preserve"> договоров).</w:t>
            </w:r>
          </w:p>
          <w:p w:rsidR="00F73D6C" w:rsidRDefault="00FA23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Основными факторами, ограничивающими развитие деятельности организаций розничной торговли в округе, являются:</w:t>
            </w:r>
          </w:p>
          <w:p w:rsidR="00F73D6C" w:rsidRDefault="00FA23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недостаточный платежеспособный спрос</w:t>
            </w:r>
            <w:r w:rsidR="00BE00E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, высокая конкуренция, высокая арендная плата,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недостаток финансовых (собственных оборотных) средств;</w:t>
            </w:r>
            <w:r w:rsidR="00BE00E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высокие транспортные расходы.</w:t>
            </w:r>
          </w:p>
          <w:p w:rsidR="004D5875" w:rsidRDefault="004D5875" w:rsidP="004D587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 схему размещения нестационарных торговых объектов в 2023 году включено 30 новых мест.</w:t>
            </w:r>
          </w:p>
          <w:p w:rsidR="004D5875" w:rsidRDefault="004D5875" w:rsidP="004D587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</w:t>
            </w:r>
            <w:r w:rsidRPr="004D58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ля субъектов малого и среднего предпринимательства: </w:t>
            </w:r>
          </w:p>
          <w:p w:rsidR="004D5875" w:rsidRDefault="004D5875" w:rsidP="004D587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D58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- на официальном сайте администрации городского округа размещено 114 информационных сообщений; </w:t>
            </w:r>
          </w:p>
          <w:p w:rsidR="004D5875" w:rsidRPr="004D5875" w:rsidRDefault="004D5875" w:rsidP="004D587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</w:t>
            </w:r>
            <w:r w:rsidRPr="004D58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предоставлено 79 консультаций; </w:t>
            </w:r>
          </w:p>
          <w:p w:rsidR="004D5875" w:rsidRDefault="004D5875" w:rsidP="004D587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D58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- проведено 5 мероприятий.</w:t>
            </w:r>
          </w:p>
          <w:p w:rsidR="00567651" w:rsidRDefault="00567651" w:rsidP="004D587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Ведется дислокация предприятий розничной торговли и бытового облуживания. </w:t>
            </w:r>
          </w:p>
          <w:p w:rsidR="00567651" w:rsidRPr="00567651" w:rsidRDefault="00567651" w:rsidP="004D587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7651">
              <w:rPr>
                <w:rFonts w:ascii="Times New Roman" w:hAnsi="Times New Roman" w:cs="Times New Roman"/>
                <w:sz w:val="26"/>
                <w:szCs w:val="26"/>
              </w:rPr>
              <w:t xml:space="preserve">Мониторинг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розничных цен </w:t>
            </w:r>
            <w:r w:rsidRPr="00567651">
              <w:rPr>
                <w:rFonts w:ascii="Times New Roman" w:hAnsi="Times New Roman" w:cs="Times New Roman"/>
                <w:sz w:val="26"/>
                <w:szCs w:val="26"/>
              </w:rPr>
              <w:t>проводится 2 раза в неделю (понедельник, вторник), результаты мониторинга оформляются в электронном виде в системе Единой городской автоматизированной системе информационного обеспечения и аналитике потребительского рынка (ЕГАС СИОПР).</w:t>
            </w:r>
          </w:p>
        </w:tc>
      </w:tr>
      <w:tr w:rsidR="00F73D6C">
        <w:tc>
          <w:tcPr>
            <w:tcW w:w="150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5. Рынок ритуальных услуг</w:t>
            </w:r>
          </w:p>
        </w:tc>
      </w:tr>
      <w:tr w:rsidR="00F73D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ind w:firstLine="3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мероприятия по реорганизации муниципальных унитарных предприятий и муниципальных бюджетных учреждений в муниципальные казенные учреждения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уход муниципалитетов с рынка ритуальных услуг. Муниципальные казенные учреждения оказывают услуги только по гарантированному перечню и содержанию мест захоронения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 w:rsidP="0056765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</w:t>
            </w:r>
            <w:r w:rsidR="005676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- 2025 годы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УИЗО</w:t>
            </w:r>
          </w:p>
          <w:p w:rsidR="00F73D6C" w:rsidRDefault="00F73D6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3D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сбор и анализ информации о состоянии конкурентной среды на рынке ритуальных услуг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наличие актуальной информации о состоянии рынка ритуальных услуг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 w:rsidP="0056765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</w:t>
            </w:r>
            <w:r w:rsidR="005676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- 2025 годы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УГХ;</w:t>
            </w:r>
          </w:p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МУ «Управление благоустройства» (далее – МУ «УБ»)</w:t>
            </w:r>
          </w:p>
        </w:tc>
      </w:tr>
      <w:tr w:rsidR="00F73D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размещение на официальном сайте администрации городского округа информации о порядке предоставления и стоимости услуг, предоставляемых согласно гарантированному перечню услуг по погребению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обеспечение доступа потребителей к информации о порядке предоставления и стоимости услуг по погребению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 w:rsidP="009F0F8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</w:t>
            </w:r>
            <w:r w:rsidR="009F0F8B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24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- 2025 годы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Управление социальной защиты населения администрации городского округа (далее – УСЗН)</w:t>
            </w:r>
          </w:p>
        </w:tc>
      </w:tr>
      <w:tr w:rsidR="00F73D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организация инвентаризации кладбищ и мест захоронений на них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повышение открытости процедур предоставления мест захоронения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 w:rsidP="0056765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</w:t>
            </w:r>
            <w:r w:rsidR="005676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- 2025 годы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УГХ;</w:t>
            </w:r>
          </w:p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МУ «УБ»</w:t>
            </w:r>
          </w:p>
        </w:tc>
      </w:tr>
      <w:tr w:rsidR="00F73D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5)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создание и ведение реестров кладбищ и мест захоронений с размещением указанных реестров на региональных порталах государственных и муниципальных услуг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созданы и размещены на региональных порталах государственных и муниципальных услуг реестры хозяйствующих субъектов, имеющих право на оказание услуг по организации похорон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 w:rsidP="0056765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</w:t>
            </w:r>
            <w:r w:rsidR="005676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- 2025 годы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УГХ;</w:t>
            </w:r>
          </w:p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МУ «УБ»</w:t>
            </w:r>
          </w:p>
        </w:tc>
      </w:tr>
      <w:tr w:rsidR="00F73D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6)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информирование населения городского округа, в том числе с использованием средств массовой информации, о создании реестров кладбищ и мест захоронений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повышение информированности потребителей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 w:rsidP="0056765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</w:t>
            </w:r>
            <w:r w:rsidR="005676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- 2025 годы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УГХ;</w:t>
            </w:r>
          </w:p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МУ «УБ»;</w:t>
            </w:r>
          </w:p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Отдел пресс-службы администрации городского округа (далее – отдел пресс-службы) </w:t>
            </w:r>
          </w:p>
        </w:tc>
      </w:tr>
      <w:tr w:rsidR="00F73D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7)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организация оказания услуг по организации похорон по принципу «одного окна» на основе конкуренции с предоставлением лицам, ответственным за захоронения, полной информации об указанных хозяйствующих субъектах, содержащейся в таких реестрах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развитие конкуренции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до 31 декабря 2025 года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УГХ;</w:t>
            </w:r>
          </w:p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МУ «УБ»</w:t>
            </w:r>
          </w:p>
          <w:p w:rsidR="00F73D6C" w:rsidRDefault="00F73D6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3D6C">
        <w:tc>
          <w:tcPr>
            <w:tcW w:w="150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75" w:rsidRDefault="00FA23F0" w:rsidP="004D587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D58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 территории городского округа расположено 9 кладбищ. Контроль за содержанием территории кладбищ возложен на </w:t>
            </w:r>
            <w:r w:rsidR="004D58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                     </w:t>
            </w:r>
            <w:r w:rsidRPr="004D58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МУ «Управление благоустройства».</w:t>
            </w:r>
          </w:p>
          <w:p w:rsidR="004D5875" w:rsidRDefault="004D5875" w:rsidP="004D587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D58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 данным Единого реестра субъектов малого и среднего предпринимательства с сайта Федеральной налоговой службы Росс</w:t>
            </w:r>
            <w:r w:rsidR="0047258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ии по состоянию на 1 января 2024</w:t>
            </w:r>
            <w:r w:rsidRPr="004D58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года на территории городского округа зарегистрировано по ОКВЭД:</w:t>
            </w:r>
          </w:p>
          <w:p w:rsidR="004D5875" w:rsidRPr="004D5875" w:rsidRDefault="004D5875" w:rsidP="004D587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58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96.03 – Организация похорон и предоставление связанных с ними услуг </w:t>
            </w:r>
            <w:r w:rsidR="0047258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9</w:t>
            </w:r>
            <w:r w:rsidRPr="004D58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субъектов малого и среднего предпринимательства;</w:t>
            </w:r>
          </w:p>
          <w:p w:rsidR="00F73D6C" w:rsidRDefault="004D5875" w:rsidP="0047258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D58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47.78.4 - Торговля розничная предметами культового и религиозного назначения, похоронными принадлежностями в </w:t>
            </w:r>
            <w:r w:rsidRPr="004D58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 xml:space="preserve">специализированных магазинах </w:t>
            </w:r>
            <w:r w:rsidR="0047258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  <w:r w:rsidRPr="004D58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субъект</w:t>
            </w:r>
            <w:r w:rsidR="00B400A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а</w:t>
            </w:r>
            <w:r w:rsidRPr="004D58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малого и среднего предпринимательства.</w:t>
            </w:r>
          </w:p>
          <w:p w:rsidR="00073DA8" w:rsidRPr="00073DA8" w:rsidRDefault="00073DA8" w:rsidP="00073D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3DA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 официальном сайте управления социальной защиты населения администрации городского округа в разделе «Меры социальной поддержки населения»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/</w:t>
            </w:r>
            <w:r w:rsidRPr="00073DA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«Социальное пособие на погребение» размещена информация о порядке предоставления и стоимости услуг, предоставляемых согласно гарантированному перечню услуг по погребению, а также эта информация размещена на сайте Собрания депутатов Копейског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 городского округа.</w:t>
            </w:r>
          </w:p>
        </w:tc>
      </w:tr>
      <w:tr w:rsidR="00F73D6C">
        <w:tc>
          <w:tcPr>
            <w:tcW w:w="150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6. Рынок услуг детского отдыха и оздоровления</w:t>
            </w:r>
          </w:p>
        </w:tc>
      </w:tr>
      <w:tr w:rsidR="00F73D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предоставление субсидий местным бюджетам на организацию отдыха детей в каникулярное время, в том числе для направления средств субсидии в частные лагеря в целях поддержки частного бизнеса в развитии инфраструктуры детского отдыха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развитие сектора организаций отдыха детей и их оздоровления частной формы собственности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 w:rsidP="00B400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</w:t>
            </w:r>
            <w:r w:rsidR="00B400A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- 2025 годы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Управление образования администрации городского округа (далее – УО)</w:t>
            </w:r>
          </w:p>
        </w:tc>
      </w:tr>
      <w:tr w:rsidR="00F73D6C">
        <w:tc>
          <w:tcPr>
            <w:tcW w:w="150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 период оздоровительной кампании на территории городского округа в 202</w:t>
            </w:r>
            <w:r w:rsidR="0047258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года функционировали 2</w:t>
            </w:r>
            <w:r w:rsidR="0047258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организаций отдыха детей и их оздоровления стационарного типа сезонного или круглогодичного действия (загородные лагеря), из них </w:t>
            </w:r>
            <w:r w:rsidR="0047258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лагерей частной формы собственности.</w:t>
            </w:r>
          </w:p>
          <w:p w:rsidR="00F73D6C" w:rsidRDefault="00FA23F0" w:rsidP="0047258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Поддержка частного бизнеса в развитии инфраструктуры детского отдыха осуществляется за счет направления органами местного самоуправления средств областной субсидии в частные лагеря.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целях оздоровления и отдыха детей и подростков в загородных лагерях в количестве 2030 человек из средств областного и местного бюджетов в 202</w:t>
            </w:r>
            <w:r w:rsidR="0047258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году направлено </w:t>
            </w:r>
            <w:r w:rsidR="0047258D">
              <w:rPr>
                <w:rFonts w:ascii="Times New Roman" w:hAnsi="Times New Roman" w:cs="Times New Roman"/>
                <w:sz w:val="26"/>
                <w:szCs w:val="26"/>
              </w:rPr>
              <w:t>8908,427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рублей. На оздоровление и отдых детей и подростков в лагерях с дневным пребыванием из средств областного и местного бюджетов направлено </w:t>
            </w:r>
            <w:r w:rsidR="0047258D">
              <w:rPr>
                <w:rFonts w:ascii="Times New Roman" w:hAnsi="Times New Roman" w:cs="Times New Roman"/>
                <w:sz w:val="26"/>
                <w:szCs w:val="26"/>
              </w:rPr>
              <w:t>7088,728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рублей. </w:t>
            </w:r>
          </w:p>
        </w:tc>
      </w:tr>
      <w:tr w:rsidR="00F73D6C">
        <w:tc>
          <w:tcPr>
            <w:tcW w:w="150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7. Рынок теплоснабжения (производство тепловой энергии)</w:t>
            </w:r>
          </w:p>
        </w:tc>
      </w:tr>
      <w:tr w:rsidR="00F73D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мониторинг схем теплоснабжения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разработка и актуализация схем теплоснабжения в соответствии с </w:t>
            </w:r>
            <w:hyperlink r:id="rId9" w:history="1">
              <w:r>
                <w:rPr>
                  <w:rStyle w:val="af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требованиями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, утвержденными постановлением Правительства Российской Федерации от 22 февраля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2012 г. № 154 «О требованиях к схемам теплоснабжения, порядку их разработки и утверждения»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 w:rsidP="00B400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202</w:t>
            </w:r>
            <w:r w:rsidR="00B400A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- 2025 годы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УГХ</w:t>
            </w:r>
          </w:p>
        </w:tc>
      </w:tr>
      <w:tr w:rsidR="00F73D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2)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утверждение (актуализация) схем теплоснабжения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увеличение числа организаций частной формы собственности, улучшение качества предоставляемых услуг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 w:rsidP="00B400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</w:t>
            </w:r>
            <w:r w:rsidR="00B400A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- 2025 годы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УГХ</w:t>
            </w:r>
          </w:p>
        </w:tc>
      </w:tr>
      <w:tr w:rsidR="00F73D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инвентаризация и выявление бесхозяйных тепловых сетей, а также сетей, собственность на которые не оформлена. Оформление указанных сетей в собственность муниципального образования. Передача оформленных в собственность муниципального образования тепловых сетей хозяйствующим субъектам по концессионным соглашениям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надежность теплоснабжения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B400A9" w:rsidP="00B400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2024 </w:t>
            </w:r>
            <w:r w:rsidR="00FA23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- 2025 годы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УИЗО;</w:t>
            </w:r>
          </w:p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УГХ</w:t>
            </w:r>
          </w:p>
        </w:tc>
      </w:tr>
      <w:tr w:rsidR="00F73D6C">
        <w:tc>
          <w:tcPr>
            <w:tcW w:w="150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 территории городского округа деятельность по производству тепловой энергии осуществляют </w:t>
            </w:r>
            <w:r w:rsidR="004F64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организаций.</w:t>
            </w:r>
          </w:p>
          <w:p w:rsidR="00F73D6C" w:rsidRDefault="00FA23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Документом, содержащим основную информацию о текущем состоянии и перспективном развитии систем теплоснабжения муниципальных образований Челябинской области, о предложениях по строительству, реконструкции, техническому перевооружению и (или) модернизации источников тепловой энергии и тепловых сетей, а также определяющим зоны деятельности единых теплоснабжающих организаций, обладающих доминирующим положением согласно </w:t>
            </w:r>
            <w:hyperlink r:id="rId10" w:history="1">
              <w:r>
                <w:rPr>
                  <w:rStyle w:val="af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части 4 статьи 4-2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Федерального закона от 27 июля 2010 года № 190-ФЗ «О теплоснабжении», является схема теплоснабжения.</w:t>
            </w:r>
          </w:p>
          <w:p w:rsidR="00F73D6C" w:rsidRDefault="009C7F7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1" w:history="1">
              <w:r w:rsidR="00FA23F0">
                <w:rPr>
                  <w:rStyle w:val="af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Требования</w:t>
              </w:r>
            </w:hyperlink>
            <w:r w:rsidR="00FA23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к схемам теплоснабжения утверждены постановлением Правительства Российской Федерации от 22.02.2012 № 154             «О требованиях к схемам теплоснабжения, порядку их разработки и утверждения» (далее именуется - постановление Правительства Российской Федерации от 22.02.2012 № 154).</w:t>
            </w:r>
          </w:p>
          <w:p w:rsidR="00F73D6C" w:rsidRDefault="00FA23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 соответствии с </w:t>
            </w:r>
            <w:hyperlink r:id="rId12" w:history="1">
              <w:r>
                <w:rPr>
                  <w:rStyle w:val="af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пунктом 10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требований к порядку разработки и утверждения схем теплоснабжения, утвержденных постановлением Правительства Российской Федерации от 22.02.2012 № 154 (далее - Требования), схема теплоснабжения подлежит ежегодной актуализации.</w:t>
            </w:r>
          </w:p>
          <w:p w:rsidR="00F73D6C" w:rsidRDefault="00FA23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Согласно </w:t>
            </w:r>
            <w:hyperlink r:id="rId13" w:history="1">
              <w:r>
                <w:rPr>
                  <w:rStyle w:val="af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пункту 38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Требований утверждение актуализированной схемы теплоснабжения производится не позднее 1 июля года,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предшествующего году, на который актуализируется схема теплоснабжения.</w:t>
            </w:r>
          </w:p>
          <w:p w:rsidR="00F73D6C" w:rsidRDefault="00FA23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 xml:space="preserve">Схемы теплоснабжения </w:t>
            </w:r>
            <w:r>
              <w:rPr>
                <w:rFonts w:ascii="Times New Roman" w:hAnsi="Times New Roman" w:cs="Times New Roman"/>
                <w:bCs/>
                <w:sz w:val="26"/>
                <w:szCs w:val="28"/>
              </w:rPr>
              <w:t>городского округа на период 2014-2029 годы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 по состоянию на 202</w:t>
            </w:r>
            <w:r w:rsidR="004F6423">
              <w:rPr>
                <w:rFonts w:ascii="Times New Roman" w:hAnsi="Times New Roman" w:cs="Times New Roman"/>
                <w:sz w:val="26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 xml:space="preserve"> утверждены постановлением администрации гор</w:t>
            </w:r>
            <w:r w:rsidR="004F6423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одского округа от 30.10.2023 № 3547</w:t>
            </w:r>
            <w:r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-п.</w:t>
            </w:r>
          </w:p>
          <w:p w:rsidR="00F73D6C" w:rsidRDefault="00FA23F0" w:rsidP="004F642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 результате проведенной инвентаризации в 202</w:t>
            </w:r>
            <w:r w:rsidR="004F64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году в качестве бесхозяйного имущества осуществлена постановка на учет </w:t>
            </w:r>
            <w:r w:rsidR="004F64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15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тепловых сетей. Право собственности муниципального образования </w:t>
            </w:r>
            <w:r w:rsidR="004F64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не зарегистрировано.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3450D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Указанные объекты не переданы по концессионным соглашениям.</w:t>
            </w:r>
          </w:p>
        </w:tc>
      </w:tr>
      <w:tr w:rsidR="00F73D6C">
        <w:tc>
          <w:tcPr>
            <w:tcW w:w="150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8. Рынок выполнения работ по благоустройству городской среды</w:t>
            </w:r>
          </w:p>
        </w:tc>
      </w:tr>
      <w:tr w:rsidR="00F73D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проведение информационно-разъяснительных работ по формированию комфортной городской среды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повышение уровня компетенции организаций частной формы собственности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 w:rsidP="00B400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</w:t>
            </w:r>
            <w:r w:rsidR="00B400A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- 2025 годы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УГХ</w:t>
            </w:r>
          </w:p>
        </w:tc>
      </w:tr>
      <w:tr w:rsidR="00F73D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получение субсидии из бюджета Челябинской области на благоустройство общественных и дворовых территорий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повышение уровня комфортности городской среды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 w:rsidP="00B400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</w:t>
            </w:r>
            <w:r w:rsidR="00B400A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- 2025 годы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УГХ</w:t>
            </w:r>
          </w:p>
        </w:tc>
      </w:tr>
      <w:tr w:rsidR="00F73D6C">
        <w:tc>
          <w:tcPr>
            <w:tcW w:w="150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Повышение качества городской среды является одной из стратегических задач развития Российской Федерации на период до 2024 года, установленных </w:t>
            </w:r>
            <w:hyperlink r:id="rId14" w:history="1">
              <w:r>
                <w:rPr>
                  <w:rStyle w:val="af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Указом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Президента Российской Федерации от 07.05.2018 № 204 «О национальных целях и стратегических задачах развития Российской Федерации на период до 2024 года».</w:t>
            </w:r>
          </w:p>
          <w:p w:rsidR="00F73D6C" w:rsidRDefault="00FA23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Выполнение работ по благоустройству городской среды в Челябинской области осуществляется в рамках федерального проекта «Формирование комфортной городской среды» (далее именуется - Проект), обеспечивающего реализацию мероприятий по благоустройству дворовых и общественных территорий.</w:t>
            </w:r>
          </w:p>
          <w:p w:rsidR="00F73D6C" w:rsidRDefault="00FA23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 рамках государственной </w:t>
            </w:r>
            <w:hyperlink r:id="rId15" w:history="1">
              <w:r>
                <w:rPr>
                  <w:rStyle w:val="af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программы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Челябинской области «Благоустройство населенных пунктов Челябинской области», утвержденной постановлением Правительства Челябинской области от 01.09.2017 № 470-П «О государственной программе Челябинской области «Благоустройство населенных пунктов Челябинской области» на территории Копейского городского округа реализуется муниципальная программа «Благоустройство городской среды Копейского городского округа», утвержденная постановлением администрации Копейского городского округа от </w:t>
            </w:r>
            <w:r w:rsidR="00653A0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26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.10.202</w:t>
            </w:r>
            <w:r w:rsidR="00653A0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 № 3514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-п «Об утверждении муниципальной программы «Благоустройство городской среды Копейского городского округа».</w:t>
            </w:r>
          </w:p>
          <w:p w:rsidR="00F73D6C" w:rsidRDefault="00FA23F0" w:rsidP="00653A0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 202</w:t>
            </w:r>
            <w:r w:rsidR="003450D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году благоустроены 4 общественные</w:t>
            </w:r>
            <w:r w:rsidR="00AD5AB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B400A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территории </w:t>
            </w:r>
            <w:r w:rsidR="00AD5AB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площадью 21,3 тыс.м</w:t>
            </w:r>
            <w:r w:rsidR="00AD5AB5">
              <w:rPr>
                <w:rFonts w:ascii="Times New Roman" w:hAnsi="Times New Roman" w:cs="Times New Roman"/>
                <w:sz w:val="26"/>
                <w:szCs w:val="26"/>
                <w:vertAlign w:val="superscript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и 3 дворовые территории</w:t>
            </w:r>
            <w:r w:rsidR="00AD5AB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общей площадью 14,7 тыс. м</w:t>
            </w:r>
            <w:r w:rsidR="00AD5AB5">
              <w:rPr>
                <w:rFonts w:ascii="Times New Roman" w:hAnsi="Times New Roman" w:cs="Times New Roman"/>
                <w:sz w:val="26"/>
                <w:szCs w:val="26"/>
                <w:vertAlign w:val="superscript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. Общий объем финансирования в рамках муниципальной программы «Благоустройство городской среды Копейского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городского округа» составил 55</w:t>
            </w:r>
            <w:r w:rsidR="00653A0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339,50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ты</w:t>
            </w:r>
            <w:r w:rsidR="00653A0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с. рублей в том числе средства местного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бюджета в размере </w:t>
            </w:r>
            <w:r w:rsidR="00653A0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2767,00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тыс. рублей. </w:t>
            </w:r>
          </w:p>
        </w:tc>
      </w:tr>
      <w:tr w:rsidR="00F73D6C" w:rsidRPr="00311E26">
        <w:tc>
          <w:tcPr>
            <w:tcW w:w="150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26" w:rsidRDefault="00311E2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311E2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9. Рынок выполнения работ по содержанию и текущему ремонту общего имущества собственников помещений </w:t>
            </w:r>
          </w:p>
          <w:p w:rsidR="00F73D6C" w:rsidRPr="00311E26" w:rsidRDefault="00311E2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311E26">
              <w:rPr>
                <w:rFonts w:ascii="Times New Roman" w:hAnsi="Times New Roman" w:cs="Times New Roman"/>
                <w:sz w:val="26"/>
                <w:szCs w:val="26"/>
              </w:rPr>
              <w:t>в многоквартирном доме</w:t>
            </w:r>
          </w:p>
        </w:tc>
      </w:tr>
      <w:tr w:rsidR="00F73D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организация и проведение конкурсов по отбору управляющей организации, предусмотренных Жилищным </w:t>
            </w:r>
            <w:hyperlink r:id="rId16" w:history="1">
              <w:r>
                <w:rPr>
                  <w:rStyle w:val="af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кодексом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Российской Федерации и </w:t>
            </w:r>
            <w:hyperlink r:id="rId17" w:history="1">
              <w:r>
                <w:rPr>
                  <w:rStyle w:val="af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Правилами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проведения органом местного самоуправления открытого конкурса по отбору управляющей организации для управления многоквартирным домом, утвержденными постановлением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увеличение количества организаций частной формы собственности на указанном рынке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 w:rsidP="00B400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</w:t>
            </w:r>
            <w:r w:rsidR="00B400A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- 2025 годы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УГХ</w:t>
            </w:r>
          </w:p>
        </w:tc>
      </w:tr>
      <w:tr w:rsidR="00F73D6C">
        <w:tc>
          <w:tcPr>
            <w:tcW w:w="150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Pr="00DE47A0" w:rsidRDefault="00FA23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47A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 территории городского округа количество многоквартирных домов составляет </w:t>
            </w:r>
            <w:r w:rsidR="00DE47A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1323</w:t>
            </w:r>
            <w:r w:rsidRPr="00DE47A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единиц. Управление многоквартирными домами </w:t>
            </w:r>
            <w:r w:rsidR="00DE47A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осуществляют </w:t>
            </w:r>
            <w:r w:rsidRPr="00DE47A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  <w:r w:rsidR="00DE47A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7</w:t>
            </w:r>
            <w:r w:rsidRPr="00DE47A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организации, из них 1</w:t>
            </w:r>
            <w:r w:rsidR="00DB168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6</w:t>
            </w:r>
            <w:r w:rsidRPr="00DE47A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товарищества собственников жилья, жилищные кооперативы или иные специализированные потребительские кооперативы, 2</w:t>
            </w:r>
            <w:r w:rsidR="00DB168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  <w:r w:rsidRPr="00DE47A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управляющие организации. Все управляющие организации имеют лицензии на осуществление деятельности по управлению многоквартирными домами.</w:t>
            </w:r>
          </w:p>
          <w:p w:rsidR="00F73D6C" w:rsidRDefault="00FA23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47A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Общая площадь жилых помещений, в отношении которых выбран и реализован способ управления многоквартирными домами - </w:t>
            </w:r>
            <w:r w:rsidR="00840F6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283561</w:t>
            </w:r>
            <w:r w:rsidRPr="00DE47A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тыс. кв. метров, в том числе </w:t>
            </w:r>
            <w:r w:rsidR="00840F6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134574,4</w:t>
            </w:r>
            <w:r w:rsidRPr="00DE47A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тыс. кв. метров - непосредственный способ управления домами, 241,1 тыс. кв. метров - управление товариществом собственников жилья, жилищными кооперативами или иными специализированными потребительскими кооперативами.</w:t>
            </w:r>
          </w:p>
          <w:p w:rsidR="00F73D6C" w:rsidRDefault="00FA23F0" w:rsidP="001351E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>В 202</w:t>
            </w:r>
            <w:r w:rsidR="001351E8">
              <w:rPr>
                <w:rFonts w:ascii="Times New Roman" w:hAnsi="Times New Roman" w:cs="Times New Roman"/>
                <w:sz w:val="26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 году проведено </w:t>
            </w:r>
            <w:r w:rsidR="001351E8">
              <w:rPr>
                <w:rFonts w:ascii="Times New Roman" w:hAnsi="Times New Roman" w:cs="Times New Roman"/>
                <w:sz w:val="26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 открытых </w:t>
            </w:r>
            <w:r w:rsidR="001351E8">
              <w:rPr>
                <w:rFonts w:ascii="Times New Roman" w:hAnsi="Times New Roman" w:cs="Times New Roman"/>
                <w:bCs/>
                <w:sz w:val="26"/>
                <w:szCs w:val="28"/>
              </w:rPr>
              <w:t>конкурса</w:t>
            </w:r>
            <w:r>
              <w:rPr>
                <w:rFonts w:ascii="Times New Roman" w:hAnsi="Times New Roman" w:cs="Times New Roman"/>
                <w:bCs/>
                <w:sz w:val="26"/>
                <w:szCs w:val="28"/>
              </w:rPr>
              <w:t xml:space="preserve"> по отбору управляющей организации для управления многоквартирным жилым домом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>.</w:t>
            </w:r>
          </w:p>
        </w:tc>
      </w:tr>
      <w:tr w:rsidR="00F73D6C">
        <w:tc>
          <w:tcPr>
            <w:tcW w:w="150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10. Рынок услуг связи, в том числе услуг по предоставлению широкополосного доступа к информационно-телекоммуникационной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сети Интернет</w:t>
            </w:r>
          </w:p>
        </w:tc>
      </w:tr>
      <w:tr w:rsidR="00F73D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1)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содействие реализации проекта по обеспечению широкополосного доступа жителей к информационно-телекоммуникационной сети Интернет в малых населенных пунктах, в том числе посредством универсальных услуг связи, на территории городского округа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обеспечение доступа жителей малых населенных пунктов к информационно-телекоммуникационной сети Интернет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B400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2024</w:t>
            </w:r>
            <w:r w:rsidR="00FA23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- 2025 годы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УИЗО</w:t>
            </w:r>
          </w:p>
          <w:p w:rsidR="00F73D6C" w:rsidRDefault="00F73D6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3D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снижение административных барьеров в отношении согласования размещения объектов связи на объектах муниципальной собственности, сокращения сроков согласования сделок по передаче в аренду (пользование) объектов муниципальной собственности, земельных участков, арендаторами (пользователями) которых выступают операторы связи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создание благоприятных условий для развития новейших стандартов связи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 w:rsidP="00B400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B400A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- 2025 годы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УИЗО</w:t>
            </w:r>
          </w:p>
        </w:tc>
      </w:tr>
      <w:tr w:rsidR="00F73D6C">
        <w:tc>
          <w:tcPr>
            <w:tcW w:w="150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 данным Единого реестра субъектов малого и среднего предпринимательства сайта Федеральной налоговой службы России по состоянию на 1 января 202</w:t>
            </w:r>
            <w:r w:rsidR="00901E6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года на территории городского округа зарегистрировано по ОКВЭД 61.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 </w:t>
            </w:r>
            <w:hyperlink r:id="rId18" w:history="1">
              <w:r>
                <w:rPr>
                  <w:rStyle w:val="af5"/>
                  <w:rFonts w:ascii="Times New Roman" w:hAnsi="Times New Roman" w:cs="Times New Roman"/>
                  <w:color w:val="000000" w:themeColor="text1"/>
                  <w:sz w:val="26"/>
                  <w:u w:val="none"/>
                </w:rPr>
                <w:t>Деятельность в сфере телекоммуникаций</w:t>
              </w:r>
            </w:hyperlink>
            <w:r w:rsidR="00901E6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22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субъект</w:t>
            </w:r>
            <w:r w:rsidR="00901E6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. </w:t>
            </w:r>
          </w:p>
          <w:p w:rsidR="00F73D6C" w:rsidRDefault="00FA23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Со стороны потребителей ожидается продолжение роста объемов потребляемого трафика действующими абонентами за счет увеличения количества устройств, подключенных к информационно-телекоммуникационной сети Интернет, а также за счет увеличения количества и качества потребляемого видеоконтента.</w:t>
            </w:r>
          </w:p>
          <w:p w:rsidR="00F73D6C" w:rsidRDefault="00FA23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по имуществу и земельным отношениям администрации Копейского городского округа предоставляет без торгов при необходимости по заявлениям операторам связи муниципальное имущество, в том числе земельные участки.</w:t>
            </w:r>
          </w:p>
          <w:p w:rsidR="00F73D6C" w:rsidRDefault="00FA23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Предоставление в аренду (пользование) объектов муниципальной собственности, земельных участков, арендаторами (пользователями) которых выступают операторы связи, осуществляется в соответствии с Земельным кодексом РФ.</w:t>
            </w:r>
          </w:p>
        </w:tc>
      </w:tr>
      <w:tr w:rsidR="00F73D6C">
        <w:tc>
          <w:tcPr>
            <w:tcW w:w="150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11. Рынок дорожной деятельности (за исключением проектирования)</w:t>
            </w:r>
          </w:p>
        </w:tc>
      </w:tr>
      <w:tr w:rsidR="00F73D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1)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заключение муниципальных контрактов с подрядчиками в соответствии с требованиями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достижение доли присутствия организаций частной формы собственности в сфере дорожной деятельности не менее 80 процентов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B400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2024</w:t>
            </w:r>
            <w:r w:rsidR="00FA23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- 2025 годы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УГХ;</w:t>
            </w:r>
          </w:p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МУ «ГСЗ» </w:t>
            </w:r>
          </w:p>
        </w:tc>
      </w:tr>
      <w:tr w:rsidR="00F73D6C">
        <w:tc>
          <w:tcPr>
            <w:tcW w:w="150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Автомобильные дороги являются важнейшим элементом транспортной инфраструктуры, развитие которой не только поддерживает необходимый уровень обеспечения населения городского округа общественными благами, но и является необходимым условием развития предпринимательства и роста деловой активности.</w:t>
            </w:r>
          </w:p>
          <w:p w:rsidR="00F73D6C" w:rsidRDefault="00FA23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Основными заказчиками работ на рынке дорожной деятельности являются муниципальные органы власти, подрядчиками - конкурирующие между собой дорожно-строительные предприятия.</w:t>
            </w:r>
          </w:p>
          <w:p w:rsidR="00F73D6C" w:rsidRDefault="00FA23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Действия заказчика строго регламентированы законодательством Российской Федерации, отражающим как порядок размещения государственных и муниципальных заказов, так и строгий контроль за качеством выполненных строительных работ. В рамках законодательства Российской Федерации заказчик устанавливает требования к качеству работ, используемым при производстве работ материалам, срокам проведения дорожно-строительных работ.</w:t>
            </w:r>
          </w:p>
          <w:p w:rsidR="00F73D6C" w:rsidRDefault="00FA23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Конкуренция на рынке проявляется во время проведения подрядных торгов на работы по строительству, реконструкции, капитальному ремонту и ремонту автомобильных дорог и искусственных сооружений на них, а также на содержание автомобильных дорог и искусственных сооружений.</w:t>
            </w:r>
          </w:p>
          <w:p w:rsidR="00F73D6C" w:rsidRPr="000C6255" w:rsidRDefault="00FA23F0">
            <w:pPr>
              <w:pStyle w:val="ConsPlusNormal"/>
              <w:ind w:firstLine="283"/>
              <w:jc w:val="both"/>
              <w:rPr>
                <w:rFonts w:ascii="Times New Roman" w:hAnsi="Times New Roman" w:cs="Liberation Sans"/>
                <w:color w:val="000000"/>
                <w:sz w:val="26"/>
              </w:rPr>
            </w:pPr>
            <w:r w:rsidRPr="000C6255">
              <w:rPr>
                <w:rFonts w:ascii="Times New Roman" w:hAnsi="Times New Roman" w:cs="Liberation Sans"/>
                <w:color w:val="000000"/>
                <w:sz w:val="26"/>
                <w:szCs w:val="26"/>
                <w:lang w:bidi="en-US"/>
              </w:rPr>
              <w:t>В целях обеспечения сохранности автомобильных дорог местного значения, дорожных сооружений и поддержания их состояния в соответствии с требованиями, допустимыми по условиям обеспечения безопасного дорожного движения в</w:t>
            </w:r>
            <w:r w:rsidRPr="000C6255">
              <w:rPr>
                <w:rFonts w:ascii="Times New Roman" w:hAnsi="Times New Roman" w:cs="Liberation Sans"/>
                <w:color w:val="111111"/>
                <w:sz w:val="26"/>
                <w:szCs w:val="26"/>
                <w:lang w:bidi="en-US"/>
              </w:rPr>
              <w:t xml:space="preserve"> рамках реализации муниципальной программы </w:t>
            </w:r>
            <w:r w:rsidRPr="000C6255">
              <w:rPr>
                <w:rFonts w:ascii="Times New Roman" w:hAnsi="Times New Roman" w:cs="Liberation Sans"/>
                <w:color w:val="000000"/>
                <w:sz w:val="26"/>
                <w:szCs w:val="26"/>
                <w:lang w:bidi="en-US"/>
              </w:rPr>
              <w:t xml:space="preserve">«Развитие дорожного хозяйства  Копейского городского округа» за </w:t>
            </w:r>
            <w:r w:rsidRPr="000C6255">
              <w:rPr>
                <w:rFonts w:ascii="Times New Roman" w:hAnsi="Times New Roman"/>
                <w:sz w:val="26"/>
                <w:szCs w:val="26"/>
              </w:rPr>
              <w:t>202</w:t>
            </w:r>
            <w:r w:rsidR="00901E63" w:rsidRPr="000C6255">
              <w:rPr>
                <w:rFonts w:ascii="Times New Roman" w:hAnsi="Times New Roman"/>
                <w:sz w:val="26"/>
                <w:szCs w:val="26"/>
              </w:rPr>
              <w:t>3</w:t>
            </w:r>
            <w:r w:rsidRPr="000C6255">
              <w:rPr>
                <w:rFonts w:ascii="Times New Roman" w:hAnsi="Times New Roman"/>
                <w:sz w:val="26"/>
                <w:szCs w:val="26"/>
              </w:rPr>
              <w:t xml:space="preserve"> год выполнены мероприятия на сумму </w:t>
            </w:r>
            <w:r w:rsidR="00AD5AB5" w:rsidRPr="000C6255">
              <w:rPr>
                <w:rFonts w:ascii="Times New Roman" w:hAnsi="Times New Roman"/>
                <w:sz w:val="26"/>
                <w:szCs w:val="26"/>
              </w:rPr>
              <w:t>405,2 млн</w:t>
            </w:r>
            <w:r w:rsidRPr="000C6255">
              <w:rPr>
                <w:rFonts w:ascii="Times New Roman" w:hAnsi="Times New Roman"/>
                <w:sz w:val="26"/>
                <w:szCs w:val="26"/>
              </w:rPr>
              <w:t xml:space="preserve"> руб</w:t>
            </w:r>
            <w:r w:rsidR="00AD5AB5" w:rsidRPr="000C6255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AD5AB5" w:rsidRPr="000C6255" w:rsidRDefault="00FA23F0">
            <w:pPr>
              <w:pStyle w:val="ConsPlusNormal"/>
              <w:ind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6255">
              <w:rPr>
                <w:rFonts w:ascii="Times New Roman" w:eastAsia="Tahoma" w:hAnsi="Times New Roman"/>
                <w:color w:val="000000"/>
                <w:sz w:val="26"/>
                <w:szCs w:val="26"/>
                <w:lang w:bidi="en-US"/>
              </w:rPr>
              <w:t xml:space="preserve">Для улучшения дорожных условий и снижения аварийности на дорогах городского округа в рамках содержания улично – дорожной сети общего пользования местного значения </w:t>
            </w:r>
            <w:r w:rsidRPr="000C6255">
              <w:rPr>
                <w:rFonts w:ascii="Times New Roman" w:hAnsi="Times New Roman" w:cs="Liberation Sans"/>
                <w:color w:val="000000"/>
                <w:sz w:val="26"/>
                <w:szCs w:val="26"/>
                <w:lang w:bidi="en-US"/>
              </w:rPr>
              <w:t xml:space="preserve">на сумму </w:t>
            </w:r>
            <w:r w:rsidR="00AD5AB5" w:rsidRPr="000C6255">
              <w:rPr>
                <w:rFonts w:ascii="Times New Roman" w:hAnsi="Times New Roman"/>
                <w:sz w:val="26"/>
                <w:szCs w:val="26"/>
              </w:rPr>
              <w:t>214</w:t>
            </w:r>
            <w:r w:rsidRPr="000C625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D5AB5" w:rsidRPr="000C6255">
              <w:rPr>
                <w:rFonts w:ascii="Times New Roman" w:hAnsi="Times New Roman"/>
                <w:sz w:val="26"/>
                <w:szCs w:val="26"/>
              </w:rPr>
              <w:t>млн</w:t>
            </w:r>
            <w:r w:rsidRPr="000C6255">
              <w:rPr>
                <w:rFonts w:ascii="Times New Roman" w:hAnsi="Times New Roman"/>
                <w:sz w:val="26"/>
                <w:szCs w:val="26"/>
              </w:rPr>
              <w:t xml:space="preserve"> руб</w:t>
            </w:r>
            <w:r w:rsidR="00AD5AB5" w:rsidRPr="000C6255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AD5AB5" w:rsidRPr="00AD5AB5" w:rsidRDefault="00AD5AB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C6255">
              <w:rPr>
                <w:rFonts w:ascii="Times New Roman" w:hAnsi="Times New Roman" w:cs="Times New Roman"/>
                <w:sz w:val="26"/>
                <w:szCs w:val="26"/>
              </w:rPr>
              <w:t>Выполнены работы:</w:t>
            </w:r>
          </w:p>
          <w:p w:rsidR="00AD5AB5" w:rsidRDefault="00AD5AB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AB5">
              <w:rPr>
                <w:rFonts w:ascii="Times New Roman" w:hAnsi="Times New Roman" w:cs="Times New Roman"/>
                <w:sz w:val="26"/>
                <w:szCs w:val="26"/>
              </w:rPr>
              <w:t>- 1 этап реконструкции пр. Коммунистический;</w:t>
            </w:r>
          </w:p>
          <w:p w:rsidR="00AD5AB5" w:rsidRDefault="00AD5AB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капитальный ремонт 5 автодорог;</w:t>
            </w:r>
          </w:p>
          <w:p w:rsidR="00AD5AB5" w:rsidRDefault="000D67F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AD5AB5" w:rsidRPr="00AD5AB5">
              <w:rPr>
                <w:rFonts w:ascii="Times New Roman" w:hAnsi="Times New Roman" w:cs="Times New Roman"/>
                <w:sz w:val="26"/>
                <w:szCs w:val="26"/>
              </w:rPr>
              <w:t xml:space="preserve"> участка автодороги по ул. Советов от пр. Победы до дома №</w:t>
            </w:r>
            <w:r w:rsidR="00AD5AB5">
              <w:rPr>
                <w:rFonts w:ascii="Times New Roman" w:hAnsi="Times New Roman" w:cs="Times New Roman"/>
                <w:sz w:val="26"/>
                <w:szCs w:val="26"/>
              </w:rPr>
              <w:t xml:space="preserve"> 10</w:t>
            </w:r>
            <w:r w:rsidR="00AD5AB5" w:rsidRPr="00AD5AB5"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:rsidR="00AD5AB5" w:rsidRDefault="000D67F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AD5AB5" w:rsidRPr="00AD5AB5">
              <w:rPr>
                <w:rFonts w:ascii="Times New Roman" w:hAnsi="Times New Roman" w:cs="Times New Roman"/>
                <w:sz w:val="26"/>
                <w:szCs w:val="26"/>
              </w:rPr>
              <w:t xml:space="preserve"> развязки на Железнодорожный жилой массив с обустройством тротуара;</w:t>
            </w:r>
          </w:p>
          <w:p w:rsidR="00AD5AB5" w:rsidRDefault="00AD5AB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- </w:t>
            </w:r>
            <w:r w:rsidRPr="00AD5AB5">
              <w:rPr>
                <w:rFonts w:ascii="Times New Roman" w:hAnsi="Times New Roman" w:cs="Times New Roman"/>
                <w:sz w:val="26"/>
                <w:szCs w:val="26"/>
              </w:rPr>
              <w:t>асфальтирование тротуара по пр. Ильича, 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D5AB5" w:rsidRDefault="00AD5AB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D5AB5">
              <w:rPr>
                <w:rFonts w:ascii="Times New Roman" w:hAnsi="Times New Roman" w:cs="Times New Roman"/>
                <w:sz w:val="26"/>
                <w:szCs w:val="26"/>
              </w:rPr>
              <w:t xml:space="preserve"> обустройство парковки по ул. Калинина; </w:t>
            </w:r>
          </w:p>
          <w:p w:rsidR="000C6255" w:rsidRDefault="00AD5AB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AD5AB5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инициативного проекта «Ремонт покрытия тротуара по пер. Тореза». </w:t>
            </w:r>
          </w:p>
          <w:p w:rsidR="000C6255" w:rsidRDefault="00AD5AB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AB5">
              <w:rPr>
                <w:rFonts w:ascii="Times New Roman" w:hAnsi="Times New Roman" w:cs="Times New Roman"/>
                <w:sz w:val="26"/>
                <w:szCs w:val="26"/>
              </w:rPr>
              <w:t>В рамках содержания и ремонта улично-дорожной сети проведены мероприятия на общую сумму 214 млн рублей, в том числе:</w:t>
            </w:r>
          </w:p>
          <w:p w:rsidR="000C6255" w:rsidRDefault="000C625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AD5AB5" w:rsidRPr="00AD5AB5">
              <w:rPr>
                <w:rFonts w:ascii="Times New Roman" w:hAnsi="Times New Roman" w:cs="Times New Roman"/>
                <w:sz w:val="26"/>
                <w:szCs w:val="26"/>
              </w:rPr>
              <w:t xml:space="preserve"> ремонт аварийного участка по ул. 4я Пятилетка в районе пересечения с ул. Томилова; </w:t>
            </w:r>
          </w:p>
          <w:p w:rsidR="000C6255" w:rsidRDefault="000C625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AD5AB5" w:rsidRPr="00AD5AB5">
              <w:rPr>
                <w:rFonts w:ascii="Times New Roman" w:hAnsi="Times New Roman" w:cs="Times New Roman"/>
                <w:sz w:val="26"/>
                <w:szCs w:val="26"/>
              </w:rPr>
              <w:t xml:space="preserve">«ямочный» ремонт дорожного полотна с твердым покрытием общей площадью 13,4 тыс. м²; </w:t>
            </w:r>
          </w:p>
          <w:p w:rsidR="000C6255" w:rsidRDefault="000C625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AD5AB5" w:rsidRPr="00AD5AB5">
              <w:rPr>
                <w:rFonts w:ascii="Times New Roman" w:hAnsi="Times New Roman" w:cs="Times New Roman"/>
                <w:sz w:val="26"/>
                <w:szCs w:val="26"/>
              </w:rPr>
              <w:t xml:space="preserve">грейдирование грунтовых автодорог протяженностью 620 км; </w:t>
            </w:r>
          </w:p>
          <w:p w:rsidR="000C6255" w:rsidRDefault="000C625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AD5AB5" w:rsidRPr="00AD5AB5">
              <w:rPr>
                <w:rFonts w:ascii="Times New Roman" w:hAnsi="Times New Roman" w:cs="Times New Roman"/>
                <w:sz w:val="26"/>
                <w:szCs w:val="26"/>
              </w:rPr>
              <w:t xml:space="preserve">грейдирование грунтовых автодорог с добавлением нового материала в объеме 70,4 тыс. м²; </w:t>
            </w:r>
          </w:p>
          <w:p w:rsidR="000C6255" w:rsidRDefault="000C6255" w:rsidP="000C625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AD5AB5" w:rsidRPr="00AD5AB5">
              <w:rPr>
                <w:rFonts w:ascii="Times New Roman" w:hAnsi="Times New Roman" w:cs="Times New Roman"/>
                <w:sz w:val="26"/>
                <w:szCs w:val="26"/>
              </w:rPr>
              <w:t xml:space="preserve">восстановление профиля грунтовых дорог жилых массивов Потанино и Северный Рудник (ул. Центральная); </w:t>
            </w:r>
          </w:p>
          <w:p w:rsidR="000C6255" w:rsidRDefault="000C6255" w:rsidP="000C625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AD5AB5" w:rsidRPr="00AD5AB5">
              <w:rPr>
                <w:rFonts w:ascii="Times New Roman" w:hAnsi="Times New Roman" w:cs="Times New Roman"/>
                <w:sz w:val="26"/>
                <w:szCs w:val="26"/>
              </w:rPr>
              <w:t xml:space="preserve">восстановление барьерного ограждения по пр. Победы; </w:t>
            </w:r>
          </w:p>
          <w:p w:rsidR="000C6255" w:rsidRDefault="000C6255" w:rsidP="000C625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AD5AB5" w:rsidRPr="00AD5AB5">
              <w:rPr>
                <w:rFonts w:ascii="Times New Roman" w:hAnsi="Times New Roman" w:cs="Times New Roman"/>
                <w:sz w:val="26"/>
                <w:szCs w:val="26"/>
              </w:rPr>
              <w:t xml:space="preserve">обустройство 30 остановочных пунктов и восстановление 6 остановочных пунктов. </w:t>
            </w:r>
          </w:p>
          <w:p w:rsidR="000C6255" w:rsidRPr="000C6255" w:rsidRDefault="00AD5AB5" w:rsidP="000C625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AB5">
              <w:rPr>
                <w:rFonts w:ascii="Times New Roman" w:hAnsi="Times New Roman" w:cs="Times New Roman"/>
                <w:sz w:val="26"/>
                <w:szCs w:val="26"/>
              </w:rPr>
              <w:t>Кроме того, направлен на госэкспертизу проект по у</w:t>
            </w:r>
            <w:r w:rsidR="000C6255">
              <w:rPr>
                <w:rFonts w:ascii="Times New Roman" w:hAnsi="Times New Roman" w:cs="Times New Roman"/>
                <w:sz w:val="26"/>
                <w:szCs w:val="26"/>
              </w:rPr>
              <w:t>стройству велопешеходных дорожек</w:t>
            </w:r>
            <w:r w:rsidRPr="00AD5AB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73D6C" w:rsidRDefault="00FA23F0" w:rsidP="000C625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Основной проблемой на рынке дорожной деятельности является высокая технологическая сложность дорожного строительства.</w:t>
            </w:r>
          </w:p>
        </w:tc>
      </w:tr>
      <w:tr w:rsidR="00F73D6C">
        <w:tc>
          <w:tcPr>
            <w:tcW w:w="150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12. Рынок легкой промышленности</w:t>
            </w:r>
          </w:p>
        </w:tc>
      </w:tr>
      <w:tr w:rsidR="00F73D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информирование участников рынка о предоставлении финансовой поддержки в виде возмещения части затрат на приобретение оборудования в целях модернизации и технического перевооружения производственных мощностей путем размещения информации в информационно-телекоммуникационной сети Интернет на официальном сайте администрации горского округа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повышение информированности участников рынка об оказании финансовой поддержки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 w:rsidP="00B400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</w:t>
            </w:r>
            <w:r w:rsidR="00B400A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- 2025 годы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УЭР</w:t>
            </w:r>
          </w:p>
        </w:tc>
      </w:tr>
      <w:tr w:rsidR="00F73D6C">
        <w:tc>
          <w:tcPr>
            <w:tcW w:w="150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484" w:rsidRDefault="00FA23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 данным Федеральной налоговой службы, по состоянию на 1 января 202</w:t>
            </w:r>
            <w:r w:rsidR="008677E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года на территории городского округа по дынным Единого реестра субъектов малого и среднего предпринимательства сайта Федеральной налоговой службы России зарегистрировано 2</w:t>
            </w:r>
            <w:r w:rsidR="0059148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субъект</w:t>
            </w:r>
            <w:r w:rsidR="0059148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а предпринимательства. </w:t>
            </w:r>
          </w:p>
          <w:p w:rsidR="00F73D6C" w:rsidRDefault="00FA23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Основные производители одежды и текстильных изделий: ООО «Копейская швейная фабрика», общество с ограниченной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ответственностью «Сталма-Спецодежда», ООО «Спецпрофи», ИП Адищева Л.Н.</w:t>
            </w:r>
          </w:p>
          <w:p w:rsidR="00F73D6C" w:rsidRDefault="00FA23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Основные проблемы: вытеснение отечественного производителя продукцией китайского производства, техническая и технологическая отсталость предприятий отрасли, низкий уровень инвестиционной и инновационной деятельности в отрасли, недостаток собственных финансовых ресурсов, а также недостаток квалифицированных кадров.</w:t>
            </w:r>
          </w:p>
        </w:tc>
      </w:tr>
      <w:tr w:rsidR="00F73D6C">
        <w:tc>
          <w:tcPr>
            <w:tcW w:w="150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13. Рынок поставки сжиженного газа в баллонах</w:t>
            </w:r>
          </w:p>
        </w:tc>
      </w:tr>
      <w:tr w:rsidR="00F73D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проведение ежегодного мониторинга потребности населения в сжиженном газе в баллонах для бытовых нужд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наличие информации о потребностях населения в сжиженном газе в баллонах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B400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2024</w:t>
            </w:r>
            <w:r w:rsidR="00FA23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- 2025 годы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УЭР</w:t>
            </w:r>
          </w:p>
        </w:tc>
      </w:tr>
      <w:tr w:rsidR="00F73D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формирование и размещение на сайте  администрации округа реестра субъектов предпринимательской деятельности, осуществляющих заправку и поставку сжиженного газа в баллонах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повышение информированности населения об организациях, осуществляющих поставку сжиженного газа в баллонах, повышение уровня конкуренции организаций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B400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2024</w:t>
            </w:r>
            <w:r w:rsidR="00FA23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- 2025 годы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УЭР</w:t>
            </w:r>
          </w:p>
        </w:tc>
      </w:tr>
      <w:tr w:rsidR="00F73D6C">
        <w:tc>
          <w:tcPr>
            <w:tcW w:w="150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Хозяйствующие субъекты, обеспечивающие заправку бытовых газовых баллонов или имеющие намерения осуществлять данный вид деятельности, должны получить соответствующую лицензию, поскольку объекты по заправке бытовых газовых баллонов сжиженным углеводородным газом относятся к взрывопожароопасным, химически опасным производственным объектам II класса опасности (требование </w:t>
            </w:r>
            <w:hyperlink r:id="rId19" w:history="1">
              <w:r>
                <w:rPr>
                  <w:rStyle w:val="af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пункта 12 части 1 статьи 12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Федерального закона от 4 мая 2011 года № 99-ФЗ «О лицензировании отдельных видов деятельности»).</w:t>
            </w:r>
          </w:p>
          <w:p w:rsidR="00F73D6C" w:rsidRDefault="00FA23F0" w:rsidP="0027268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 территории городского о</w:t>
            </w:r>
            <w:r w:rsidR="00D2367B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круга по состоянию на 01.01.2024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B400A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 да</w:t>
            </w:r>
            <w:r w:rsidR="0027268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нным Единого реестра субъектов малого и среднего предпринимательства сайта Федеральной налоговой службы России хозяйствующих субъектов </w:t>
            </w:r>
            <w:r w:rsidR="00272686" w:rsidRPr="0027268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ОКВЭД: 46.78.62 - Торговля розничная газом в баллонах в специализированных магазинах по регулируемым государствам ценам (тарифам), 46.78.63 - Торговля розничная газом в баллонах в специализированных магазинах по нерегулируемым государством ценам (тарифам)) не зарегистрировано.</w:t>
            </w:r>
          </w:p>
        </w:tc>
      </w:tr>
      <w:tr w:rsidR="00F73D6C">
        <w:tc>
          <w:tcPr>
            <w:tcW w:w="150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14. Рынок оказания услуг по ремонту автотранспортных средств</w:t>
            </w:r>
          </w:p>
        </w:tc>
      </w:tr>
      <w:tr w:rsidR="00F73D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мониторинг хозяйствующих субъектов,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предоставляющих услуги по ремонту автотранспортных средств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 xml:space="preserve">выявление административных и иных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барьеров при входе на рынок и при осуществлении деятельности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B400A9" w:rsidP="00B400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2024</w:t>
            </w:r>
            <w:r w:rsidR="00FA23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- 2025 </w:t>
            </w:r>
            <w:r w:rsidR="00FA23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годы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УЭР</w:t>
            </w:r>
          </w:p>
        </w:tc>
      </w:tr>
      <w:tr w:rsidR="00F73D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2)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оказание организационно-методической и информационно-консультативной помощи субъектам предпринимательства, осуществляющим (планирующим осуществить) деятельность на рынке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повышение информированности организаций в сфере оказания услуг по ремонту автотранспортных средств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 w:rsidP="00B400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</w:t>
            </w:r>
            <w:r w:rsidR="00B400A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- 2025 годы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УЭР</w:t>
            </w:r>
          </w:p>
        </w:tc>
      </w:tr>
      <w:tr w:rsidR="00F73D6C">
        <w:tc>
          <w:tcPr>
            <w:tcW w:w="150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Ежегодно возрастает спрос населения на такой вид бытовых услуг, как ремонт и техническое обслуживание автотранспортных средств.</w:t>
            </w:r>
          </w:p>
          <w:p w:rsidR="00F73D6C" w:rsidRDefault="00FA23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 Едином реестре субъектов малого и среднего предпринимательства Федеральной налоговой службы по виду деятельности «техническое обслуживание и ремонт автотранспортных средств» в городском округе зарегистрировано </w:t>
            </w:r>
            <w:r w:rsidR="00D2367B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</w:t>
            </w:r>
            <w:r w:rsidR="0015057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</w:t>
            </w:r>
            <w:r w:rsidR="00D2367B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организации, в том числе 17</w:t>
            </w:r>
            <w:r w:rsidR="00B400A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юридических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лицо </w:t>
            </w:r>
            <w:r w:rsidR="00D2367B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и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7</w:t>
            </w:r>
            <w:r w:rsidR="0015057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индивидуальных предпринимателей.</w:t>
            </w:r>
          </w:p>
          <w:p w:rsidR="00F73D6C" w:rsidRDefault="00FA23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Рынок услуг по ремонту автотранспортных средств характеризуется различной степенью обеспеченности предприятий по техническому обслуживанию и ремонту автотранспортных средств. </w:t>
            </w:r>
          </w:p>
          <w:p w:rsidR="00F73D6C" w:rsidRDefault="00FA23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Основными сдерживающими факторами по развитию рынка являются:</w:t>
            </w:r>
          </w:p>
          <w:p w:rsidR="00F73D6C" w:rsidRDefault="00FA23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неравномерное распределение организаций по территории;</w:t>
            </w:r>
          </w:p>
          <w:p w:rsidR="00F73D6C" w:rsidRDefault="00FA23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рост потребительских цен и снижение покупательской способности.</w:t>
            </w:r>
          </w:p>
        </w:tc>
      </w:tr>
      <w:tr w:rsidR="00F73D6C">
        <w:tc>
          <w:tcPr>
            <w:tcW w:w="150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15. Сфера наружной рекламы</w:t>
            </w:r>
          </w:p>
        </w:tc>
      </w:tr>
      <w:tr w:rsidR="00F73D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размещение на официальном сайте администрации городского округа нормативных правовых актов, регулирующих сферу наружной рекламы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повышение уровня информированности хозяйствующих субъектов о правовом регулировании сферы наружной рекламы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 w:rsidP="00B400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</w:t>
            </w:r>
            <w:r w:rsidR="00B400A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- 2025 годы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УИЗО</w:t>
            </w:r>
          </w:p>
        </w:tc>
      </w:tr>
      <w:tr w:rsidR="00F73D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актуализация схем размещения рекламных конструкций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открытый доступ для хозяйствующих субъектов к схемам размещения рекламных конструкций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 w:rsidP="00B400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</w:t>
            </w:r>
            <w:r w:rsidR="00B400A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- 2025 годы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УИЗО</w:t>
            </w:r>
          </w:p>
        </w:tc>
      </w:tr>
      <w:tr w:rsidR="00F73D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3)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проведение торгов на право установки и эксплуатации рекламных конструкций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повышение конкуренции среди хозяйствующих субъектов, повышение качества услуг</w:t>
            </w:r>
          </w:p>
          <w:p w:rsidR="00B400A9" w:rsidRDefault="00B400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 w:rsidP="00B400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</w:t>
            </w:r>
            <w:r w:rsidR="00B400A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- 2025 годы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УИЗО</w:t>
            </w:r>
          </w:p>
        </w:tc>
      </w:tr>
      <w:tr w:rsidR="00F73D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выявление и демонтаж незаконных рекламных конструкций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контроль за соблюдением законодательства Российской Федерации в сфере наружной рекламы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 w:rsidP="00B400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</w:t>
            </w:r>
            <w:r w:rsidR="00B400A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- 2025 годы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УИЗО</w:t>
            </w:r>
          </w:p>
        </w:tc>
      </w:tr>
      <w:tr w:rsidR="00F73D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осуществление взаимодействия органов власти при осуществлении контроля в сфере наружной рекламы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контроль за соблюдением законодательства Российской Федерации в сфере наружной рекламы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 w:rsidP="00B400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</w:t>
            </w:r>
            <w:r w:rsidR="00B400A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- 2025 годы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УИЗО</w:t>
            </w:r>
          </w:p>
        </w:tc>
      </w:tr>
      <w:tr w:rsidR="00F73D6C">
        <w:tc>
          <w:tcPr>
            <w:tcW w:w="150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942" w:rsidRDefault="00FA23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Администрацией городского округа осуществляется контроль в сфере наружной рекламы. Постановлением администрации Копейского городского округа от </w:t>
            </w:r>
            <w:r>
              <w:rPr>
                <w:rFonts w:ascii="Times New Roman" w:hAnsi="Times New Roman" w:cs="Times New Roman"/>
                <w:sz w:val="26"/>
              </w:rPr>
              <w:t xml:space="preserve">02.09.2022 № 2315-п «Об утверждении схемы размещения рекламных конструкций независимо от форм собственности на территории муниципального образования «Копейский городской округ»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утверждена схема размещения рекламных конструкций. </w:t>
            </w:r>
          </w:p>
          <w:p w:rsidR="00F73D6C" w:rsidRDefault="00FA23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Схема размещения рекламных конструкций актуализируется на постоянной основе. Размещена на официальном сайте администрации городского округа в разделе «Предпринимательство» - «Реклама». Нормативные правовые акты и местные локальные акты, регулирующие сферу наружной рекламы, размещены на официальном сайте администрации городского округа.</w:t>
            </w:r>
          </w:p>
          <w:p w:rsidR="00F73D6C" w:rsidRDefault="00FA23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Согласно «Порядка организации и проведения торгов на право заключения договора на установку и эксплуатацию рекламной конструкции на территории муниципального образования «Копейский городской округ» заключение договоров на установку рекламных конструкций на земельных участках и муниципальном недвижимом имуществе осуществляется на основании торгов, проведенных в установленном законом порядке.</w:t>
            </w:r>
          </w:p>
          <w:p w:rsidR="00B400A9" w:rsidRDefault="00FA23F0" w:rsidP="006C42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Оптимизация рекламного пространства подразумевает внедрение современных высокотехнологичных носителей, что способствует формированию благоприятной городской среды, повышению спроса на наружные рекламные носители.</w:t>
            </w:r>
          </w:p>
        </w:tc>
      </w:tr>
    </w:tbl>
    <w:p w:rsidR="00F73D6C" w:rsidRDefault="00F73D6C">
      <w:pPr>
        <w:pStyle w:val="ConsPlusTitle"/>
        <w:tabs>
          <w:tab w:val="left" w:pos="5595"/>
          <w:tab w:val="left" w:pos="5700"/>
          <w:tab w:val="center" w:pos="7555"/>
        </w:tabs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6C4283" w:rsidRDefault="006C4283">
      <w:pPr>
        <w:pStyle w:val="ConsPlusTitle"/>
        <w:tabs>
          <w:tab w:val="left" w:pos="5595"/>
          <w:tab w:val="left" w:pos="5700"/>
          <w:tab w:val="center" w:pos="7555"/>
        </w:tabs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6C4283" w:rsidRDefault="006C4283">
      <w:pPr>
        <w:pStyle w:val="ConsPlusTitle"/>
        <w:tabs>
          <w:tab w:val="left" w:pos="5595"/>
          <w:tab w:val="left" w:pos="5700"/>
          <w:tab w:val="center" w:pos="7555"/>
        </w:tabs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F73D6C" w:rsidRDefault="00FA23F0">
      <w:pPr>
        <w:pStyle w:val="ConsPlusTitle"/>
        <w:tabs>
          <w:tab w:val="left" w:pos="5595"/>
          <w:tab w:val="left" w:pos="5700"/>
          <w:tab w:val="center" w:pos="7555"/>
        </w:tabs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Системные мероприятия</w:t>
      </w:r>
    </w:p>
    <w:tbl>
      <w:tblPr>
        <w:tblW w:w="15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40"/>
        <w:gridCol w:w="9446"/>
        <w:gridCol w:w="1698"/>
        <w:gridCol w:w="3121"/>
      </w:tblGrid>
      <w:tr w:rsidR="00F73D6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№ п/п</w:t>
            </w:r>
          </w:p>
        </w:tc>
        <w:tc>
          <w:tcPr>
            <w:tcW w:w="9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Наименование мероприятия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Срок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Ответственные исполнители (соисполнители)</w:t>
            </w:r>
          </w:p>
        </w:tc>
      </w:tr>
      <w:tr w:rsidR="00F73D6C">
        <w:tc>
          <w:tcPr>
            <w:tcW w:w="15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 Мероприятия, направленные на устранение избыточного государственного и муниципального регулирования, а также снижение административных барьеров</w:t>
            </w:r>
          </w:p>
        </w:tc>
      </w:tr>
      <w:tr w:rsidR="00F73D6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1)</w:t>
            </w:r>
          </w:p>
        </w:tc>
        <w:tc>
          <w:tcPr>
            <w:tcW w:w="9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проведение анализа государственных и муниципальных услуг, предоставление которых является необходимым условием ведения предпринимательской деятельности, и подготовка предложений по оптимизации процесса предоставления государственных и муниципальных услуг для субъектов предпринимательской деятельности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000164" w:rsidP="00B400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</w:t>
            </w:r>
            <w:r w:rsidR="00B400A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  <w:r w:rsidR="00FA23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- 2025 годы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Структурные подразделения администрации городского округа, ответственные за предоставление государственных и муниципальных услуг </w:t>
            </w:r>
          </w:p>
        </w:tc>
      </w:tr>
      <w:tr w:rsidR="00F73D6C">
        <w:tc>
          <w:tcPr>
            <w:tcW w:w="15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Мероприятия, направленные на создание условий для недискриминационного доступа хозяйствующих субъектов на товарные рынки</w:t>
            </w:r>
          </w:p>
        </w:tc>
      </w:tr>
      <w:tr w:rsidR="00F73D6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1)</w:t>
            </w:r>
          </w:p>
        </w:tc>
        <w:tc>
          <w:tcPr>
            <w:tcW w:w="9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0A9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формирование, актуализация и размещение на официальном сайте городского округа реестра торговых мест (ярмарок) для реализации продукции местных производителей и производителей других регионов, в том числе произведенных в личных подсобных хозяйствах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000164" w:rsidP="00B400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</w:t>
            </w:r>
            <w:r w:rsidR="00B400A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  <w:r w:rsidR="00FA23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- 2025 годы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УЭР</w:t>
            </w:r>
          </w:p>
        </w:tc>
      </w:tr>
      <w:tr w:rsidR="00F73D6C">
        <w:tc>
          <w:tcPr>
            <w:tcW w:w="15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3. Мероприятия, направленные на содействие развитию практики применения механизмов государственно-частного и муниципально-частного партнерства, в том числе практики заключения концессионных соглашений, в социальной сфере  </w:t>
            </w:r>
          </w:p>
        </w:tc>
      </w:tr>
      <w:tr w:rsidR="00F73D6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1)</w:t>
            </w:r>
          </w:p>
        </w:tc>
        <w:tc>
          <w:tcPr>
            <w:tcW w:w="9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0A9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утверждение перечня объектов, в отношении которых планируется заключение соглашений о государственно-частном партнерстве (далее именуется - ГЧП), муниципально-частном партнерстве (далее именуется - МЧП), в том числе концессионных соглашений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000164" w:rsidP="00B400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</w:t>
            </w:r>
            <w:r w:rsidR="00B400A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  <w:r w:rsidR="00FA23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- 2025 годы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УИЗО;</w:t>
            </w:r>
          </w:p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УГХ</w:t>
            </w:r>
          </w:p>
        </w:tc>
      </w:tr>
      <w:tr w:rsidR="00F73D6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2)</w:t>
            </w:r>
          </w:p>
        </w:tc>
        <w:tc>
          <w:tcPr>
            <w:tcW w:w="9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0A9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утверждение перечня инфраструктурных проектов городского округа, реализация которых возможна в рамках ГЧП/МЧП, в том числе концессионных соглашений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000164" w:rsidP="00B400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</w:t>
            </w:r>
            <w:r w:rsidR="00B400A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  <w:r w:rsidR="00FA23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- 2025 годы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УГХ</w:t>
            </w:r>
          </w:p>
        </w:tc>
      </w:tr>
      <w:tr w:rsidR="00F73D6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3)</w:t>
            </w:r>
          </w:p>
        </w:tc>
        <w:tc>
          <w:tcPr>
            <w:tcW w:w="9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применение механизмов ГЧП/МЧП, заключение концессионных соглашений в одной или нескольких из следующих сфер: спорт; здравоохранение; дошкольное образование; теплоснабжение; водоснабжение; водоотведение; транспорт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000164" w:rsidP="00B400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</w:t>
            </w:r>
            <w:r w:rsidR="00B400A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  <w:r w:rsidR="00FA23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- 2025 годы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УГХ; УИЗО</w:t>
            </w:r>
          </w:p>
        </w:tc>
      </w:tr>
      <w:tr w:rsidR="00F73D6C">
        <w:tc>
          <w:tcPr>
            <w:tcW w:w="15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4. Мероприятия, направленные на содействие развитию негосударственных (немуниципальных) социально ориентированных некоммерческих организаций и социального предпринимательства</w:t>
            </w:r>
          </w:p>
        </w:tc>
      </w:tr>
      <w:tr w:rsidR="00F73D6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1)</w:t>
            </w:r>
          </w:p>
        </w:tc>
        <w:tc>
          <w:tcPr>
            <w:tcW w:w="9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0A9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проведение мероприятий по созданию условий деятельности социально ориентированных некоммерческих организаций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000164" w:rsidP="00B400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</w:t>
            </w:r>
            <w:r w:rsidR="00B400A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  <w:r w:rsidR="00FA23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- 2025 годы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УСЗН</w:t>
            </w:r>
          </w:p>
        </w:tc>
      </w:tr>
      <w:tr w:rsidR="00F73D6C">
        <w:tc>
          <w:tcPr>
            <w:tcW w:w="15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5. Мероприятия, направленные на развитие механизмов поддержки технического и научно-технического творчества детей и молодежи, обучение их правовой грамотности и основам цифровой экономики, а также на повышение их информированности о потенциальных возможностях саморазвития, обеспечение поддержки научной, творческой и предпринимательской активности</w:t>
            </w:r>
          </w:p>
        </w:tc>
      </w:tr>
      <w:tr w:rsidR="00F73D6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1)</w:t>
            </w:r>
          </w:p>
        </w:tc>
        <w:tc>
          <w:tcPr>
            <w:tcW w:w="9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0A9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создание новых мест дополнительного образования детей в рамках реализации регионального проекта «Успех каждого ребенка (Челябинская область)»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000164" w:rsidP="00B400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</w:t>
            </w:r>
            <w:r w:rsidR="00B400A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  <w:r w:rsidR="00FA23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- 2025 годы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УО</w:t>
            </w:r>
          </w:p>
        </w:tc>
      </w:tr>
      <w:tr w:rsidR="00F73D6C">
        <w:trPr>
          <w:trHeight w:val="299"/>
        </w:trPr>
        <w:tc>
          <w:tcPr>
            <w:tcW w:w="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2)</w:t>
            </w:r>
          </w:p>
        </w:tc>
        <w:tc>
          <w:tcPr>
            <w:tcW w:w="9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0A9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создание и функционирование центров цифрового образования и детских технопарков «Кванториум»</w:t>
            </w:r>
          </w:p>
        </w:tc>
        <w:tc>
          <w:tcPr>
            <w:tcW w:w="1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6C" w:rsidRDefault="00000164" w:rsidP="00B400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</w:t>
            </w:r>
            <w:r w:rsidR="00B400A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  <w:r w:rsidR="00FA23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- 2025 годы</w:t>
            </w:r>
          </w:p>
        </w:tc>
        <w:tc>
          <w:tcPr>
            <w:tcW w:w="3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УО</w:t>
            </w:r>
          </w:p>
        </w:tc>
      </w:tr>
      <w:tr w:rsidR="00F73D6C">
        <w:tc>
          <w:tcPr>
            <w:tcW w:w="15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6. Мероприятия, направленные на повышение уровня финансовой грамотности населения (потребителей) и субъектов малого и среднего предпринимательства, в том числе путем увеличения доли населения Челябинской области, прошедшего обучение по повышению финансовой грамотности в рамках </w:t>
            </w:r>
            <w:hyperlink r:id="rId20" w:history="1">
              <w:r>
                <w:rPr>
                  <w:rStyle w:val="af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Стратегии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повышения финансовой грамотности в Российской Федерации на 2017 - 2023 годы, утвержденной распоряжением Правительства Российской Федерации от 25.09.2017 № 2039-р</w:t>
            </w:r>
          </w:p>
        </w:tc>
      </w:tr>
      <w:tr w:rsidR="00F73D6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1)</w:t>
            </w:r>
          </w:p>
        </w:tc>
        <w:tc>
          <w:tcPr>
            <w:tcW w:w="9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0A9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проведение опроса жителей городского округа об оценке ими своего уровня финансовой грамотности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000164" w:rsidP="00B400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</w:t>
            </w:r>
            <w:r w:rsidR="00B400A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  <w:r w:rsidR="00FA23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- 2025 годы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УЭР</w:t>
            </w:r>
          </w:p>
        </w:tc>
      </w:tr>
      <w:tr w:rsidR="00F73D6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2)</w:t>
            </w:r>
          </w:p>
        </w:tc>
        <w:tc>
          <w:tcPr>
            <w:tcW w:w="9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проведение на территории городского округа мероприятий по повышению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качества и доступности платежных (банковских) услуг, информационной кампании, направленной на повышение уровня финансовой грамотности жителей и субъектов малого и среднего предпринимательства, в том числе:</w:t>
            </w:r>
          </w:p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обучающих занятий (вебинары, встречи);</w:t>
            </w:r>
          </w:p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распространение видеоматериалов на сайте администрации городского округа и страницах социальных сетей администрации, экранах, щитах и баннерах в общедоступных местах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000164" w:rsidP="00B400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202</w:t>
            </w:r>
            <w:r w:rsidR="00B400A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  <w:r w:rsidR="00FA23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- 2025 </w:t>
            </w:r>
            <w:r w:rsidR="00FA23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годы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УЭР</w:t>
            </w:r>
          </w:p>
        </w:tc>
      </w:tr>
      <w:tr w:rsidR="00F73D6C">
        <w:tc>
          <w:tcPr>
            <w:tcW w:w="15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7. Мероприятия, направленные на увеличение доли опрошенного населения, положительно оценивающего удовлетворенность (полностью или частично) работой хотя бы одного типа финансовых организаций, осуществляющих свою деятельность на территории городского округа</w:t>
            </w:r>
          </w:p>
        </w:tc>
      </w:tr>
      <w:tr w:rsidR="00F73D6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1)</w:t>
            </w:r>
          </w:p>
        </w:tc>
        <w:tc>
          <w:tcPr>
            <w:tcW w:w="9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0A9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проведение опроса жителей городского округа об их удовлетворенности работой финансовых организаций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000164" w:rsidP="00B400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</w:t>
            </w:r>
            <w:r w:rsidR="00B400A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  <w:r w:rsidR="00FA23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- 2025 годы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УЭР</w:t>
            </w:r>
          </w:p>
        </w:tc>
      </w:tr>
      <w:tr w:rsidR="00F73D6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2)</w:t>
            </w:r>
          </w:p>
        </w:tc>
        <w:tc>
          <w:tcPr>
            <w:tcW w:w="9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проведение на территории городского округа мероприятий по повышению качества и доступности платежных (банковских) услуг, в том числе предоставление возможности:</w:t>
            </w:r>
          </w:p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снятия наличных денег на кассе торгово-сервисного предприятия при оплате товаров банковской картой (услуга «кешаут»);</w:t>
            </w:r>
          </w:p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безналичной оплаты услуг предприятий сферы жилищно-коммунального хозяйства на кассе торгово-сервисного предприятия;</w:t>
            </w:r>
          </w:p>
          <w:p w:rsidR="00B400A9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оплаты товаров и услуг с использованием банковской карты (установка POS-терминалов в торгово-сервисных предприятиях), системы быстрых платежей (посредством QR-кода)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000164" w:rsidP="00B400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</w:t>
            </w:r>
            <w:r w:rsidR="00B400A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  <w:r w:rsidR="00FA23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- 2025 годы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УЭР</w:t>
            </w:r>
          </w:p>
        </w:tc>
      </w:tr>
      <w:tr w:rsidR="00F73D6C">
        <w:tc>
          <w:tcPr>
            <w:tcW w:w="15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8. Мероприятия, направленные на повышение доступности финансовых услуг для субъектов экономической деятельности</w:t>
            </w:r>
          </w:p>
        </w:tc>
      </w:tr>
      <w:tr w:rsidR="00F73D6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1)</w:t>
            </w:r>
          </w:p>
        </w:tc>
        <w:tc>
          <w:tcPr>
            <w:tcW w:w="9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0A9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проведение опроса субъектов предпринимательской деятельности о доступности финансовых услуг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000164" w:rsidP="00B400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</w:t>
            </w:r>
            <w:r w:rsidR="00B400A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  <w:r w:rsidR="00FA23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- 2025 годы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УЭР</w:t>
            </w:r>
          </w:p>
        </w:tc>
      </w:tr>
      <w:tr w:rsidR="00F73D6C">
        <w:tc>
          <w:tcPr>
            <w:tcW w:w="15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 xml:space="preserve">9. Мероприятия, разработанные в соответствии с Национальным </w:t>
            </w:r>
            <w:hyperlink r:id="rId21" w:history="1">
              <w:r>
                <w:rPr>
                  <w:rStyle w:val="af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планом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(«дорожной картой») развития конкуренции в Российской Федерации на 2021 - 2025 годы, утвержденным распоряжением Правительства Российской Федерации от 02.09.2021 № 2424-р</w:t>
            </w:r>
          </w:p>
        </w:tc>
      </w:tr>
      <w:tr w:rsidR="00F73D6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1)</w:t>
            </w:r>
          </w:p>
        </w:tc>
        <w:tc>
          <w:tcPr>
            <w:tcW w:w="9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определение состава муниципального имущества, не соответствующего требованиям отнесения к категории имущества, предназначенного для реализации функций и полномочий органов местного самоуправления:</w:t>
            </w:r>
          </w:p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составление плана-графика полной инвентаризации муниципального имущества, в том числе закрепленного за предприятиями, учреждениями;</w:t>
            </w:r>
          </w:p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проведение инвентаризации муниципального имущества, определение муниципального имущества, не соответствующего требованиям отнесения к категории имущества, предназначенного для реализации функций и полномочий органов государственной власти Челябинской области;</w:t>
            </w:r>
          </w:p>
          <w:p w:rsidR="00F73D6C" w:rsidRDefault="00FA23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включение указанного имущества в программу приватизации, утверждение плана по перепрофилированию имущества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000164" w:rsidP="00B400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</w:t>
            </w:r>
            <w:r w:rsidR="00B400A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- 2025</w:t>
            </w:r>
            <w:r w:rsidR="00FA23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годы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6C" w:rsidRDefault="00FA23F0">
            <w:pPr>
              <w:pStyle w:val="ConsPlusNormal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УИЗО</w:t>
            </w:r>
          </w:p>
        </w:tc>
      </w:tr>
    </w:tbl>
    <w:p w:rsidR="00F73D6C" w:rsidRDefault="00F73D6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73D6C" w:rsidRDefault="00F73D6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73D6C" w:rsidRDefault="00F73D6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B4231" w:rsidRDefault="00CB4231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Первый з</w:t>
      </w:r>
      <w:r w:rsidR="00FA23F0">
        <w:rPr>
          <w:rFonts w:ascii="Times New Roman" w:hAnsi="Times New Roman"/>
          <w:sz w:val="26"/>
          <w:szCs w:val="26"/>
        </w:rPr>
        <w:t xml:space="preserve">аместитель </w:t>
      </w:r>
    </w:p>
    <w:p w:rsidR="00F73D6C" w:rsidRDefault="00FA23F0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Главы городского округа </w:t>
      </w:r>
      <w:r w:rsidR="00CB4231">
        <w:rPr>
          <w:rFonts w:ascii="Times New Roman" w:hAnsi="Times New Roman"/>
          <w:sz w:val="26"/>
          <w:szCs w:val="26"/>
        </w:rPr>
        <w:tab/>
      </w:r>
      <w:r w:rsidR="00CB4231">
        <w:rPr>
          <w:rFonts w:ascii="Times New Roman" w:hAnsi="Times New Roman"/>
          <w:sz w:val="26"/>
          <w:szCs w:val="26"/>
        </w:rPr>
        <w:tab/>
      </w:r>
      <w:r w:rsidR="00CB4231">
        <w:rPr>
          <w:rFonts w:ascii="Times New Roman" w:hAnsi="Times New Roman"/>
          <w:sz w:val="26"/>
          <w:szCs w:val="26"/>
        </w:rPr>
        <w:tab/>
      </w:r>
      <w:r w:rsidR="00CB4231">
        <w:rPr>
          <w:rFonts w:ascii="Times New Roman" w:hAnsi="Times New Roman"/>
          <w:sz w:val="26"/>
          <w:szCs w:val="26"/>
        </w:rPr>
        <w:tab/>
      </w:r>
      <w:r w:rsidR="00CB4231">
        <w:rPr>
          <w:rFonts w:ascii="Times New Roman" w:hAnsi="Times New Roman"/>
          <w:sz w:val="26"/>
          <w:szCs w:val="26"/>
        </w:rPr>
        <w:tab/>
      </w:r>
      <w:r w:rsidR="00CB4231">
        <w:rPr>
          <w:rFonts w:ascii="Times New Roman" w:hAnsi="Times New Roman"/>
          <w:sz w:val="26"/>
          <w:szCs w:val="26"/>
        </w:rPr>
        <w:tab/>
      </w:r>
      <w:r w:rsidR="00CB4231">
        <w:rPr>
          <w:rFonts w:ascii="Times New Roman" w:hAnsi="Times New Roman"/>
          <w:sz w:val="26"/>
          <w:szCs w:val="26"/>
        </w:rPr>
        <w:tab/>
      </w:r>
      <w:r w:rsidR="00CB4231">
        <w:rPr>
          <w:rFonts w:ascii="Times New Roman" w:hAnsi="Times New Roman"/>
          <w:sz w:val="26"/>
          <w:szCs w:val="26"/>
        </w:rPr>
        <w:tab/>
      </w:r>
      <w:r w:rsidR="00CB4231">
        <w:rPr>
          <w:rFonts w:ascii="Times New Roman" w:hAnsi="Times New Roman"/>
          <w:sz w:val="26"/>
          <w:szCs w:val="26"/>
        </w:rPr>
        <w:tab/>
      </w:r>
      <w:r w:rsidR="00CB4231">
        <w:rPr>
          <w:rFonts w:ascii="Times New Roman" w:hAnsi="Times New Roman"/>
          <w:sz w:val="26"/>
          <w:szCs w:val="26"/>
        </w:rPr>
        <w:tab/>
      </w:r>
      <w:r w:rsidR="00CB4231">
        <w:rPr>
          <w:rFonts w:ascii="Times New Roman" w:hAnsi="Times New Roman"/>
          <w:sz w:val="26"/>
          <w:szCs w:val="26"/>
        </w:rPr>
        <w:tab/>
      </w:r>
      <w:r w:rsidR="00CB4231">
        <w:rPr>
          <w:rFonts w:ascii="Times New Roman" w:hAnsi="Times New Roman"/>
          <w:sz w:val="26"/>
          <w:szCs w:val="26"/>
        </w:rPr>
        <w:tab/>
      </w:r>
      <w:r w:rsidR="00CB4231">
        <w:rPr>
          <w:rFonts w:ascii="Times New Roman" w:hAnsi="Times New Roman"/>
          <w:sz w:val="26"/>
          <w:szCs w:val="26"/>
        </w:rPr>
        <w:tab/>
      </w:r>
      <w:r w:rsidR="00CB4231">
        <w:rPr>
          <w:rFonts w:ascii="Times New Roman" w:hAnsi="Times New Roman"/>
          <w:sz w:val="26"/>
          <w:szCs w:val="26"/>
        </w:rPr>
        <w:tab/>
        <w:t xml:space="preserve">   Н.В. Сазонов</w:t>
      </w:r>
    </w:p>
    <w:p w:rsidR="00F73D6C" w:rsidRDefault="00F73D6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F73D6C" w:rsidSect="007F4B0A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7A0" w:rsidRDefault="00DE47A0">
      <w:pPr>
        <w:spacing w:after="0" w:line="240" w:lineRule="auto"/>
      </w:pPr>
      <w:r>
        <w:separator/>
      </w:r>
    </w:p>
  </w:endnote>
  <w:endnote w:type="continuationSeparator" w:id="0">
    <w:p w:rsidR="00DE47A0" w:rsidRDefault="00DE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CC"/>
    <w:family w:val="swiss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B0A" w:rsidRDefault="007F4B0A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B0A" w:rsidRDefault="007F4B0A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B0A" w:rsidRDefault="007F4B0A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7A0" w:rsidRDefault="00DE47A0">
      <w:pPr>
        <w:spacing w:after="0" w:line="240" w:lineRule="auto"/>
      </w:pPr>
      <w:r>
        <w:separator/>
      </w:r>
    </w:p>
  </w:footnote>
  <w:footnote w:type="continuationSeparator" w:id="0">
    <w:p w:rsidR="00DE47A0" w:rsidRDefault="00DE4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B0A" w:rsidRDefault="007F4B0A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784752"/>
      <w:docPartObj>
        <w:docPartGallery w:val="Page Numbers (Top of Page)"/>
        <w:docPartUnique/>
      </w:docPartObj>
    </w:sdtPr>
    <w:sdtEndPr/>
    <w:sdtContent>
      <w:p w:rsidR="007F4B0A" w:rsidRDefault="007F4B0A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7F7A">
          <w:rPr>
            <w:noProof/>
          </w:rPr>
          <w:t>2</w:t>
        </w:r>
        <w:r>
          <w:fldChar w:fldCharType="end"/>
        </w:r>
      </w:p>
    </w:sdtContent>
  </w:sdt>
  <w:p w:rsidR="00DE47A0" w:rsidRDefault="00DE47A0">
    <w:pPr>
      <w:pStyle w:val="af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B0A" w:rsidRDefault="007F4B0A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67B92"/>
    <w:multiLevelType w:val="hybridMultilevel"/>
    <w:tmpl w:val="D966E1D4"/>
    <w:lvl w:ilvl="0" w:tplc="46B633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5226FA46">
      <w:start w:val="1"/>
      <w:numFmt w:val="lowerLetter"/>
      <w:lvlText w:val="%2."/>
      <w:lvlJc w:val="left"/>
      <w:pPr>
        <w:ind w:left="1800" w:hanging="360"/>
      </w:pPr>
    </w:lvl>
    <w:lvl w:ilvl="2" w:tplc="08167FAC">
      <w:start w:val="1"/>
      <w:numFmt w:val="lowerRoman"/>
      <w:lvlText w:val="%3."/>
      <w:lvlJc w:val="right"/>
      <w:pPr>
        <w:ind w:left="2520" w:hanging="180"/>
      </w:pPr>
    </w:lvl>
    <w:lvl w:ilvl="3" w:tplc="7770A810">
      <w:start w:val="1"/>
      <w:numFmt w:val="decimal"/>
      <w:lvlText w:val="%4."/>
      <w:lvlJc w:val="left"/>
      <w:pPr>
        <w:ind w:left="3240" w:hanging="360"/>
      </w:pPr>
    </w:lvl>
    <w:lvl w:ilvl="4" w:tplc="EC02A3DE">
      <w:start w:val="1"/>
      <w:numFmt w:val="lowerLetter"/>
      <w:lvlText w:val="%5."/>
      <w:lvlJc w:val="left"/>
      <w:pPr>
        <w:ind w:left="3960" w:hanging="360"/>
      </w:pPr>
    </w:lvl>
    <w:lvl w:ilvl="5" w:tplc="101EBA26">
      <w:start w:val="1"/>
      <w:numFmt w:val="lowerRoman"/>
      <w:lvlText w:val="%6."/>
      <w:lvlJc w:val="right"/>
      <w:pPr>
        <w:ind w:left="4680" w:hanging="180"/>
      </w:pPr>
    </w:lvl>
    <w:lvl w:ilvl="6" w:tplc="CFCEB038">
      <w:start w:val="1"/>
      <w:numFmt w:val="decimal"/>
      <w:lvlText w:val="%7."/>
      <w:lvlJc w:val="left"/>
      <w:pPr>
        <w:ind w:left="5400" w:hanging="360"/>
      </w:pPr>
    </w:lvl>
    <w:lvl w:ilvl="7" w:tplc="C006381C">
      <w:start w:val="1"/>
      <w:numFmt w:val="lowerLetter"/>
      <w:lvlText w:val="%8."/>
      <w:lvlJc w:val="left"/>
      <w:pPr>
        <w:ind w:left="6120" w:hanging="360"/>
      </w:pPr>
    </w:lvl>
    <w:lvl w:ilvl="8" w:tplc="1A208FEC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070804"/>
    <w:multiLevelType w:val="hybridMultilevel"/>
    <w:tmpl w:val="80E4504E"/>
    <w:lvl w:ilvl="0" w:tplc="4AC857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9921DDE">
      <w:start w:val="1"/>
      <w:numFmt w:val="lowerLetter"/>
      <w:lvlText w:val="%2."/>
      <w:lvlJc w:val="left"/>
      <w:pPr>
        <w:ind w:left="1440" w:hanging="360"/>
      </w:pPr>
    </w:lvl>
    <w:lvl w:ilvl="2" w:tplc="19FC597E">
      <w:start w:val="1"/>
      <w:numFmt w:val="lowerRoman"/>
      <w:lvlText w:val="%3."/>
      <w:lvlJc w:val="right"/>
      <w:pPr>
        <w:ind w:left="2160" w:hanging="180"/>
      </w:pPr>
    </w:lvl>
    <w:lvl w:ilvl="3" w:tplc="AFBA0E3A">
      <w:start w:val="1"/>
      <w:numFmt w:val="decimal"/>
      <w:lvlText w:val="%4."/>
      <w:lvlJc w:val="left"/>
      <w:pPr>
        <w:ind w:left="2880" w:hanging="360"/>
      </w:pPr>
    </w:lvl>
    <w:lvl w:ilvl="4" w:tplc="3F40F668">
      <w:start w:val="1"/>
      <w:numFmt w:val="lowerLetter"/>
      <w:lvlText w:val="%5."/>
      <w:lvlJc w:val="left"/>
      <w:pPr>
        <w:ind w:left="3600" w:hanging="360"/>
      </w:pPr>
    </w:lvl>
    <w:lvl w:ilvl="5" w:tplc="8570B3C4">
      <w:start w:val="1"/>
      <w:numFmt w:val="lowerRoman"/>
      <w:lvlText w:val="%6."/>
      <w:lvlJc w:val="right"/>
      <w:pPr>
        <w:ind w:left="4320" w:hanging="180"/>
      </w:pPr>
    </w:lvl>
    <w:lvl w:ilvl="6" w:tplc="D9A64538">
      <w:start w:val="1"/>
      <w:numFmt w:val="decimal"/>
      <w:lvlText w:val="%7."/>
      <w:lvlJc w:val="left"/>
      <w:pPr>
        <w:ind w:left="5040" w:hanging="360"/>
      </w:pPr>
    </w:lvl>
    <w:lvl w:ilvl="7" w:tplc="07ACC0D4">
      <w:start w:val="1"/>
      <w:numFmt w:val="lowerLetter"/>
      <w:lvlText w:val="%8."/>
      <w:lvlJc w:val="left"/>
      <w:pPr>
        <w:ind w:left="5760" w:hanging="360"/>
      </w:pPr>
    </w:lvl>
    <w:lvl w:ilvl="8" w:tplc="3D902804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6E6E3F"/>
    <w:multiLevelType w:val="hybridMultilevel"/>
    <w:tmpl w:val="48C071E8"/>
    <w:lvl w:ilvl="0" w:tplc="3F947AF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D072290E">
      <w:start w:val="1"/>
      <w:numFmt w:val="lowerLetter"/>
      <w:lvlText w:val="%2."/>
      <w:lvlJc w:val="left"/>
      <w:pPr>
        <w:ind w:left="1440" w:hanging="360"/>
      </w:pPr>
    </w:lvl>
    <w:lvl w:ilvl="2" w:tplc="5C7A0D2C">
      <w:start w:val="1"/>
      <w:numFmt w:val="lowerRoman"/>
      <w:lvlText w:val="%3."/>
      <w:lvlJc w:val="right"/>
      <w:pPr>
        <w:ind w:left="2160" w:hanging="180"/>
      </w:pPr>
    </w:lvl>
    <w:lvl w:ilvl="3" w:tplc="C07CDF1A">
      <w:start w:val="1"/>
      <w:numFmt w:val="decimal"/>
      <w:lvlText w:val="%4."/>
      <w:lvlJc w:val="left"/>
      <w:pPr>
        <w:ind w:left="2880" w:hanging="360"/>
      </w:pPr>
    </w:lvl>
    <w:lvl w:ilvl="4" w:tplc="8EACF5EA">
      <w:start w:val="1"/>
      <w:numFmt w:val="lowerLetter"/>
      <w:lvlText w:val="%5."/>
      <w:lvlJc w:val="left"/>
      <w:pPr>
        <w:ind w:left="3600" w:hanging="360"/>
      </w:pPr>
    </w:lvl>
    <w:lvl w:ilvl="5" w:tplc="A96C468E">
      <w:start w:val="1"/>
      <w:numFmt w:val="lowerRoman"/>
      <w:lvlText w:val="%6."/>
      <w:lvlJc w:val="right"/>
      <w:pPr>
        <w:ind w:left="4320" w:hanging="180"/>
      </w:pPr>
    </w:lvl>
    <w:lvl w:ilvl="6" w:tplc="344A632A">
      <w:start w:val="1"/>
      <w:numFmt w:val="decimal"/>
      <w:lvlText w:val="%7."/>
      <w:lvlJc w:val="left"/>
      <w:pPr>
        <w:ind w:left="5040" w:hanging="360"/>
      </w:pPr>
    </w:lvl>
    <w:lvl w:ilvl="7" w:tplc="99B0A192">
      <w:start w:val="1"/>
      <w:numFmt w:val="lowerLetter"/>
      <w:lvlText w:val="%8."/>
      <w:lvlJc w:val="left"/>
      <w:pPr>
        <w:ind w:left="5760" w:hanging="360"/>
      </w:pPr>
    </w:lvl>
    <w:lvl w:ilvl="8" w:tplc="F224E106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914912"/>
    <w:multiLevelType w:val="hybridMultilevel"/>
    <w:tmpl w:val="1BDE884A"/>
    <w:lvl w:ilvl="0" w:tplc="027A60DC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F0EB7F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8294FD0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AEF0A13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11540F8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F36E431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9230A2E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A522B0C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EF4E2D2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>
    <w:nsid w:val="3CE270D1"/>
    <w:multiLevelType w:val="hybridMultilevel"/>
    <w:tmpl w:val="C522307C"/>
    <w:lvl w:ilvl="0" w:tplc="65FC01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9085402">
      <w:start w:val="1"/>
      <w:numFmt w:val="lowerLetter"/>
      <w:lvlText w:val="%2."/>
      <w:lvlJc w:val="left"/>
      <w:pPr>
        <w:ind w:left="1440" w:hanging="360"/>
      </w:pPr>
    </w:lvl>
    <w:lvl w:ilvl="2" w:tplc="48B0122A">
      <w:start w:val="1"/>
      <w:numFmt w:val="lowerRoman"/>
      <w:lvlText w:val="%3."/>
      <w:lvlJc w:val="right"/>
      <w:pPr>
        <w:ind w:left="2160" w:hanging="180"/>
      </w:pPr>
    </w:lvl>
    <w:lvl w:ilvl="3" w:tplc="330CD752">
      <w:start w:val="1"/>
      <w:numFmt w:val="decimal"/>
      <w:lvlText w:val="%4."/>
      <w:lvlJc w:val="left"/>
      <w:pPr>
        <w:ind w:left="2880" w:hanging="360"/>
      </w:pPr>
    </w:lvl>
    <w:lvl w:ilvl="4" w:tplc="E708D5E4">
      <w:start w:val="1"/>
      <w:numFmt w:val="lowerLetter"/>
      <w:lvlText w:val="%5."/>
      <w:lvlJc w:val="left"/>
      <w:pPr>
        <w:ind w:left="3600" w:hanging="360"/>
      </w:pPr>
    </w:lvl>
    <w:lvl w:ilvl="5" w:tplc="3B023C08">
      <w:start w:val="1"/>
      <w:numFmt w:val="lowerRoman"/>
      <w:lvlText w:val="%6."/>
      <w:lvlJc w:val="right"/>
      <w:pPr>
        <w:ind w:left="4320" w:hanging="180"/>
      </w:pPr>
    </w:lvl>
    <w:lvl w:ilvl="6" w:tplc="6C206D3E">
      <w:start w:val="1"/>
      <w:numFmt w:val="decimal"/>
      <w:lvlText w:val="%7."/>
      <w:lvlJc w:val="left"/>
      <w:pPr>
        <w:ind w:left="5040" w:hanging="360"/>
      </w:pPr>
    </w:lvl>
    <w:lvl w:ilvl="7" w:tplc="68062528">
      <w:start w:val="1"/>
      <w:numFmt w:val="lowerLetter"/>
      <w:lvlText w:val="%8."/>
      <w:lvlJc w:val="left"/>
      <w:pPr>
        <w:ind w:left="5760" w:hanging="360"/>
      </w:pPr>
    </w:lvl>
    <w:lvl w:ilvl="8" w:tplc="EBDABC6C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93602F"/>
    <w:multiLevelType w:val="hybridMultilevel"/>
    <w:tmpl w:val="6DFA95DC"/>
    <w:lvl w:ilvl="0" w:tplc="98FC96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16C0C8">
      <w:start w:val="1"/>
      <w:numFmt w:val="lowerLetter"/>
      <w:lvlText w:val="%2."/>
      <w:lvlJc w:val="left"/>
      <w:pPr>
        <w:ind w:left="1440" w:hanging="360"/>
      </w:pPr>
    </w:lvl>
    <w:lvl w:ilvl="2" w:tplc="3BFEEE10">
      <w:start w:val="1"/>
      <w:numFmt w:val="lowerRoman"/>
      <w:lvlText w:val="%3."/>
      <w:lvlJc w:val="right"/>
      <w:pPr>
        <w:ind w:left="2160" w:hanging="180"/>
      </w:pPr>
    </w:lvl>
    <w:lvl w:ilvl="3" w:tplc="6478E07E">
      <w:start w:val="1"/>
      <w:numFmt w:val="decimal"/>
      <w:lvlText w:val="%4."/>
      <w:lvlJc w:val="left"/>
      <w:pPr>
        <w:ind w:left="2880" w:hanging="360"/>
      </w:pPr>
    </w:lvl>
    <w:lvl w:ilvl="4" w:tplc="0602F5B4">
      <w:start w:val="1"/>
      <w:numFmt w:val="lowerLetter"/>
      <w:lvlText w:val="%5."/>
      <w:lvlJc w:val="left"/>
      <w:pPr>
        <w:ind w:left="3600" w:hanging="360"/>
      </w:pPr>
    </w:lvl>
    <w:lvl w:ilvl="5" w:tplc="AF8C0778">
      <w:start w:val="1"/>
      <w:numFmt w:val="lowerRoman"/>
      <w:lvlText w:val="%6."/>
      <w:lvlJc w:val="right"/>
      <w:pPr>
        <w:ind w:left="4320" w:hanging="180"/>
      </w:pPr>
    </w:lvl>
    <w:lvl w:ilvl="6" w:tplc="DF068054">
      <w:start w:val="1"/>
      <w:numFmt w:val="decimal"/>
      <w:lvlText w:val="%7."/>
      <w:lvlJc w:val="left"/>
      <w:pPr>
        <w:ind w:left="5040" w:hanging="360"/>
      </w:pPr>
    </w:lvl>
    <w:lvl w:ilvl="7" w:tplc="888C0848">
      <w:start w:val="1"/>
      <w:numFmt w:val="lowerLetter"/>
      <w:lvlText w:val="%8."/>
      <w:lvlJc w:val="left"/>
      <w:pPr>
        <w:ind w:left="5760" w:hanging="360"/>
      </w:pPr>
    </w:lvl>
    <w:lvl w:ilvl="8" w:tplc="34DC4FF6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A14B3F"/>
    <w:multiLevelType w:val="hybridMultilevel"/>
    <w:tmpl w:val="DA72C5BC"/>
    <w:lvl w:ilvl="0" w:tplc="6A7C79EA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32CF766">
      <w:start w:val="1"/>
      <w:numFmt w:val="lowerLetter"/>
      <w:lvlText w:val="%2."/>
      <w:lvlJc w:val="left"/>
      <w:pPr>
        <w:ind w:left="1440" w:hanging="360"/>
      </w:pPr>
    </w:lvl>
    <w:lvl w:ilvl="2" w:tplc="AD9001EA">
      <w:start w:val="1"/>
      <w:numFmt w:val="lowerRoman"/>
      <w:lvlText w:val="%3."/>
      <w:lvlJc w:val="right"/>
      <w:pPr>
        <w:ind w:left="2160" w:hanging="180"/>
      </w:pPr>
    </w:lvl>
    <w:lvl w:ilvl="3" w:tplc="E41E11D4">
      <w:start w:val="1"/>
      <w:numFmt w:val="decimal"/>
      <w:lvlText w:val="%4."/>
      <w:lvlJc w:val="left"/>
      <w:pPr>
        <w:ind w:left="2880" w:hanging="360"/>
      </w:pPr>
    </w:lvl>
    <w:lvl w:ilvl="4" w:tplc="417235BA">
      <w:start w:val="1"/>
      <w:numFmt w:val="lowerLetter"/>
      <w:lvlText w:val="%5."/>
      <w:lvlJc w:val="left"/>
      <w:pPr>
        <w:ind w:left="3600" w:hanging="360"/>
      </w:pPr>
    </w:lvl>
    <w:lvl w:ilvl="5" w:tplc="79202C82">
      <w:start w:val="1"/>
      <w:numFmt w:val="lowerRoman"/>
      <w:lvlText w:val="%6."/>
      <w:lvlJc w:val="right"/>
      <w:pPr>
        <w:ind w:left="4320" w:hanging="180"/>
      </w:pPr>
    </w:lvl>
    <w:lvl w:ilvl="6" w:tplc="E7E83F02">
      <w:start w:val="1"/>
      <w:numFmt w:val="decimal"/>
      <w:lvlText w:val="%7."/>
      <w:lvlJc w:val="left"/>
      <w:pPr>
        <w:ind w:left="5040" w:hanging="360"/>
      </w:pPr>
    </w:lvl>
    <w:lvl w:ilvl="7" w:tplc="A5CAB3E2">
      <w:start w:val="1"/>
      <w:numFmt w:val="lowerLetter"/>
      <w:lvlText w:val="%8."/>
      <w:lvlJc w:val="left"/>
      <w:pPr>
        <w:ind w:left="5760" w:hanging="360"/>
      </w:pPr>
    </w:lvl>
    <w:lvl w:ilvl="8" w:tplc="5746761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962576"/>
    <w:multiLevelType w:val="hybridMultilevel"/>
    <w:tmpl w:val="933AA6BC"/>
    <w:lvl w:ilvl="0" w:tplc="1DCEE28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F07BCC">
      <w:start w:val="1"/>
      <w:numFmt w:val="lowerLetter"/>
      <w:lvlText w:val="%2."/>
      <w:lvlJc w:val="left"/>
      <w:pPr>
        <w:ind w:left="1440" w:hanging="360"/>
      </w:pPr>
    </w:lvl>
    <w:lvl w:ilvl="2" w:tplc="ABE2A930">
      <w:start w:val="1"/>
      <w:numFmt w:val="lowerRoman"/>
      <w:lvlText w:val="%3."/>
      <w:lvlJc w:val="right"/>
      <w:pPr>
        <w:ind w:left="2160" w:hanging="180"/>
      </w:pPr>
    </w:lvl>
    <w:lvl w:ilvl="3" w:tplc="135E6FB8">
      <w:start w:val="1"/>
      <w:numFmt w:val="decimal"/>
      <w:lvlText w:val="%4."/>
      <w:lvlJc w:val="left"/>
      <w:pPr>
        <w:ind w:left="2880" w:hanging="360"/>
      </w:pPr>
    </w:lvl>
    <w:lvl w:ilvl="4" w:tplc="55CA8B1C">
      <w:start w:val="1"/>
      <w:numFmt w:val="lowerLetter"/>
      <w:lvlText w:val="%5."/>
      <w:lvlJc w:val="left"/>
      <w:pPr>
        <w:ind w:left="3600" w:hanging="360"/>
      </w:pPr>
    </w:lvl>
    <w:lvl w:ilvl="5" w:tplc="542ED26E">
      <w:start w:val="1"/>
      <w:numFmt w:val="lowerRoman"/>
      <w:lvlText w:val="%6."/>
      <w:lvlJc w:val="right"/>
      <w:pPr>
        <w:ind w:left="4320" w:hanging="180"/>
      </w:pPr>
    </w:lvl>
    <w:lvl w:ilvl="6" w:tplc="4518F848">
      <w:start w:val="1"/>
      <w:numFmt w:val="decimal"/>
      <w:lvlText w:val="%7."/>
      <w:lvlJc w:val="left"/>
      <w:pPr>
        <w:ind w:left="5040" w:hanging="360"/>
      </w:pPr>
    </w:lvl>
    <w:lvl w:ilvl="7" w:tplc="6B5C4A14">
      <w:start w:val="1"/>
      <w:numFmt w:val="lowerLetter"/>
      <w:lvlText w:val="%8."/>
      <w:lvlJc w:val="left"/>
      <w:pPr>
        <w:ind w:left="5760" w:hanging="360"/>
      </w:pPr>
    </w:lvl>
    <w:lvl w:ilvl="8" w:tplc="700E6600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786233"/>
    <w:multiLevelType w:val="hybridMultilevel"/>
    <w:tmpl w:val="0A887E00"/>
    <w:lvl w:ilvl="0" w:tplc="5F189B76">
      <w:start w:val="1"/>
      <w:numFmt w:val="decimal"/>
      <w:lvlText w:val="%1."/>
      <w:lvlJc w:val="left"/>
      <w:pPr>
        <w:ind w:left="1215" w:hanging="495"/>
      </w:pPr>
      <w:rPr>
        <w:rFonts w:ascii="Times New Roman" w:eastAsia="Times New Roman" w:hAnsi="Times New Roman" w:cs="Times New Roman"/>
      </w:rPr>
    </w:lvl>
    <w:lvl w:ilvl="1" w:tplc="9D08C9A6">
      <w:start w:val="1"/>
      <w:numFmt w:val="lowerLetter"/>
      <w:lvlText w:val="%2."/>
      <w:lvlJc w:val="left"/>
      <w:pPr>
        <w:ind w:left="1800" w:hanging="360"/>
      </w:pPr>
    </w:lvl>
    <w:lvl w:ilvl="2" w:tplc="9E4C6594">
      <w:start w:val="1"/>
      <w:numFmt w:val="lowerRoman"/>
      <w:lvlText w:val="%3."/>
      <w:lvlJc w:val="right"/>
      <w:pPr>
        <w:ind w:left="2520" w:hanging="180"/>
      </w:pPr>
    </w:lvl>
    <w:lvl w:ilvl="3" w:tplc="61406B84">
      <w:start w:val="1"/>
      <w:numFmt w:val="decimal"/>
      <w:lvlText w:val="%4."/>
      <w:lvlJc w:val="left"/>
      <w:pPr>
        <w:ind w:left="3240" w:hanging="360"/>
      </w:pPr>
    </w:lvl>
    <w:lvl w:ilvl="4" w:tplc="330A7DEC">
      <w:start w:val="1"/>
      <w:numFmt w:val="lowerLetter"/>
      <w:lvlText w:val="%5."/>
      <w:lvlJc w:val="left"/>
      <w:pPr>
        <w:ind w:left="3960" w:hanging="360"/>
      </w:pPr>
    </w:lvl>
    <w:lvl w:ilvl="5" w:tplc="63C85CC4">
      <w:start w:val="1"/>
      <w:numFmt w:val="lowerRoman"/>
      <w:lvlText w:val="%6."/>
      <w:lvlJc w:val="right"/>
      <w:pPr>
        <w:ind w:left="4680" w:hanging="180"/>
      </w:pPr>
    </w:lvl>
    <w:lvl w:ilvl="6" w:tplc="5C383CE2">
      <w:start w:val="1"/>
      <w:numFmt w:val="decimal"/>
      <w:lvlText w:val="%7."/>
      <w:lvlJc w:val="left"/>
      <w:pPr>
        <w:ind w:left="5400" w:hanging="360"/>
      </w:pPr>
    </w:lvl>
    <w:lvl w:ilvl="7" w:tplc="2B70DBEC">
      <w:start w:val="1"/>
      <w:numFmt w:val="lowerLetter"/>
      <w:lvlText w:val="%8."/>
      <w:lvlJc w:val="left"/>
      <w:pPr>
        <w:ind w:left="6120" w:hanging="360"/>
      </w:pPr>
    </w:lvl>
    <w:lvl w:ilvl="8" w:tplc="9FE48A42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9B02158"/>
    <w:multiLevelType w:val="hybridMultilevel"/>
    <w:tmpl w:val="D2DE2746"/>
    <w:lvl w:ilvl="0" w:tplc="F05EE0B6">
      <w:start w:val="4"/>
      <w:numFmt w:val="upperRoman"/>
      <w:lvlText w:val="%1."/>
      <w:lvlJc w:val="left"/>
      <w:pPr>
        <w:ind w:left="1724" w:hanging="720"/>
      </w:pPr>
      <w:rPr>
        <w:rFonts w:hint="default"/>
      </w:rPr>
    </w:lvl>
    <w:lvl w:ilvl="1" w:tplc="5B3A20E6">
      <w:start w:val="1"/>
      <w:numFmt w:val="lowerLetter"/>
      <w:lvlText w:val="%2."/>
      <w:lvlJc w:val="left"/>
      <w:pPr>
        <w:ind w:left="2084" w:hanging="360"/>
      </w:pPr>
    </w:lvl>
    <w:lvl w:ilvl="2" w:tplc="7F380C6C">
      <w:start w:val="1"/>
      <w:numFmt w:val="lowerRoman"/>
      <w:lvlText w:val="%3."/>
      <w:lvlJc w:val="right"/>
      <w:pPr>
        <w:ind w:left="2804" w:hanging="180"/>
      </w:pPr>
    </w:lvl>
    <w:lvl w:ilvl="3" w:tplc="FAA29AB0">
      <w:start w:val="1"/>
      <w:numFmt w:val="decimal"/>
      <w:lvlText w:val="%4."/>
      <w:lvlJc w:val="left"/>
      <w:pPr>
        <w:ind w:left="3524" w:hanging="360"/>
      </w:pPr>
    </w:lvl>
    <w:lvl w:ilvl="4" w:tplc="C80E3A46">
      <w:start w:val="1"/>
      <w:numFmt w:val="lowerLetter"/>
      <w:lvlText w:val="%5."/>
      <w:lvlJc w:val="left"/>
      <w:pPr>
        <w:ind w:left="4244" w:hanging="360"/>
      </w:pPr>
    </w:lvl>
    <w:lvl w:ilvl="5" w:tplc="DC64994E">
      <w:start w:val="1"/>
      <w:numFmt w:val="lowerRoman"/>
      <w:lvlText w:val="%6."/>
      <w:lvlJc w:val="right"/>
      <w:pPr>
        <w:ind w:left="4964" w:hanging="180"/>
      </w:pPr>
    </w:lvl>
    <w:lvl w:ilvl="6" w:tplc="E1F4E1E4">
      <w:start w:val="1"/>
      <w:numFmt w:val="decimal"/>
      <w:lvlText w:val="%7."/>
      <w:lvlJc w:val="left"/>
      <w:pPr>
        <w:ind w:left="5684" w:hanging="360"/>
      </w:pPr>
    </w:lvl>
    <w:lvl w:ilvl="7" w:tplc="8FCC17D6">
      <w:start w:val="1"/>
      <w:numFmt w:val="lowerLetter"/>
      <w:lvlText w:val="%8."/>
      <w:lvlJc w:val="left"/>
      <w:pPr>
        <w:ind w:left="6404" w:hanging="360"/>
      </w:pPr>
    </w:lvl>
    <w:lvl w:ilvl="8" w:tplc="AE2C73E6">
      <w:start w:val="1"/>
      <w:numFmt w:val="lowerRoman"/>
      <w:lvlText w:val="%9."/>
      <w:lvlJc w:val="right"/>
      <w:pPr>
        <w:ind w:left="7124" w:hanging="180"/>
      </w:pPr>
    </w:lvl>
  </w:abstractNum>
  <w:abstractNum w:abstractNumId="10">
    <w:nsid w:val="7F1D5737"/>
    <w:multiLevelType w:val="hybridMultilevel"/>
    <w:tmpl w:val="383499AA"/>
    <w:lvl w:ilvl="0" w:tplc="B01A81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CED5F2">
      <w:start w:val="1"/>
      <w:numFmt w:val="lowerLetter"/>
      <w:lvlText w:val="%2."/>
      <w:lvlJc w:val="left"/>
      <w:pPr>
        <w:ind w:left="1440" w:hanging="360"/>
      </w:pPr>
    </w:lvl>
    <w:lvl w:ilvl="2" w:tplc="2D62816C">
      <w:start w:val="1"/>
      <w:numFmt w:val="lowerRoman"/>
      <w:lvlText w:val="%3."/>
      <w:lvlJc w:val="right"/>
      <w:pPr>
        <w:ind w:left="2160" w:hanging="180"/>
      </w:pPr>
    </w:lvl>
    <w:lvl w:ilvl="3" w:tplc="778C9F08">
      <w:start w:val="1"/>
      <w:numFmt w:val="decimal"/>
      <w:lvlText w:val="%4."/>
      <w:lvlJc w:val="left"/>
      <w:pPr>
        <w:ind w:left="2880" w:hanging="360"/>
      </w:pPr>
    </w:lvl>
    <w:lvl w:ilvl="4" w:tplc="A596F1DE">
      <w:start w:val="1"/>
      <w:numFmt w:val="lowerLetter"/>
      <w:lvlText w:val="%5."/>
      <w:lvlJc w:val="left"/>
      <w:pPr>
        <w:ind w:left="3600" w:hanging="360"/>
      </w:pPr>
    </w:lvl>
    <w:lvl w:ilvl="5" w:tplc="7A46606A">
      <w:start w:val="1"/>
      <w:numFmt w:val="lowerRoman"/>
      <w:lvlText w:val="%6."/>
      <w:lvlJc w:val="right"/>
      <w:pPr>
        <w:ind w:left="4320" w:hanging="180"/>
      </w:pPr>
    </w:lvl>
    <w:lvl w:ilvl="6" w:tplc="24F409AC">
      <w:start w:val="1"/>
      <w:numFmt w:val="decimal"/>
      <w:lvlText w:val="%7."/>
      <w:lvlJc w:val="left"/>
      <w:pPr>
        <w:ind w:left="5040" w:hanging="360"/>
      </w:pPr>
    </w:lvl>
    <w:lvl w:ilvl="7" w:tplc="89226F78">
      <w:start w:val="1"/>
      <w:numFmt w:val="lowerLetter"/>
      <w:lvlText w:val="%8."/>
      <w:lvlJc w:val="left"/>
      <w:pPr>
        <w:ind w:left="5760" w:hanging="360"/>
      </w:pPr>
    </w:lvl>
    <w:lvl w:ilvl="8" w:tplc="BE707B0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7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10"/>
  </w:num>
  <w:num w:numId="10">
    <w:abstractNumId w:val="1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D6C"/>
    <w:rsid w:val="00000164"/>
    <w:rsid w:val="00073DA8"/>
    <w:rsid w:val="000774BC"/>
    <w:rsid w:val="000C6255"/>
    <w:rsid w:val="000D67FA"/>
    <w:rsid w:val="001351E8"/>
    <w:rsid w:val="00150579"/>
    <w:rsid w:val="00272686"/>
    <w:rsid w:val="00311E26"/>
    <w:rsid w:val="003450D9"/>
    <w:rsid w:val="0047258D"/>
    <w:rsid w:val="004A6D4F"/>
    <w:rsid w:val="004C295B"/>
    <w:rsid w:val="004D5875"/>
    <w:rsid w:val="004F6423"/>
    <w:rsid w:val="00505772"/>
    <w:rsid w:val="00531FF0"/>
    <w:rsid w:val="005637E8"/>
    <w:rsid w:val="00567651"/>
    <w:rsid w:val="00591484"/>
    <w:rsid w:val="005C08F4"/>
    <w:rsid w:val="00622186"/>
    <w:rsid w:val="00653A07"/>
    <w:rsid w:val="006C4283"/>
    <w:rsid w:val="006D1881"/>
    <w:rsid w:val="006E4942"/>
    <w:rsid w:val="00714C7A"/>
    <w:rsid w:val="007626F5"/>
    <w:rsid w:val="00784970"/>
    <w:rsid w:val="007F4B0A"/>
    <w:rsid w:val="00815542"/>
    <w:rsid w:val="008269F8"/>
    <w:rsid w:val="00840F63"/>
    <w:rsid w:val="008677E7"/>
    <w:rsid w:val="00901E63"/>
    <w:rsid w:val="0096202F"/>
    <w:rsid w:val="009858EE"/>
    <w:rsid w:val="009C7F7A"/>
    <w:rsid w:val="009F0F8B"/>
    <w:rsid w:val="00AD5AB5"/>
    <w:rsid w:val="00B400A9"/>
    <w:rsid w:val="00B50C65"/>
    <w:rsid w:val="00BE00E1"/>
    <w:rsid w:val="00CB4231"/>
    <w:rsid w:val="00D2367B"/>
    <w:rsid w:val="00DB168F"/>
    <w:rsid w:val="00DE47A0"/>
    <w:rsid w:val="00EF0574"/>
    <w:rsid w:val="00F43155"/>
    <w:rsid w:val="00F55EE5"/>
    <w:rsid w:val="00F73D6C"/>
    <w:rsid w:val="00F776ED"/>
    <w:rsid w:val="00FA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56" w:lineRule="auto"/>
    </w:pPr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character" w:customStyle="1" w:styleId="af0">
    <w:name w:val="Цветовое выделение"/>
    <w:uiPriority w:val="99"/>
    <w:rPr>
      <w:b/>
      <w:bCs w:val="0"/>
      <w:color w:val="26282F"/>
    </w:rPr>
  </w:style>
  <w:style w:type="paragraph" w:styleId="af1">
    <w:name w:val="header"/>
    <w:basedOn w:val="a"/>
    <w:link w:val="a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Pr>
      <w:rFonts w:ascii="Calibri" w:eastAsia="Calibri" w:hAnsi="Calibri" w:cs="Times New Roman"/>
    </w:rPr>
  </w:style>
  <w:style w:type="paragraph" w:styleId="af3">
    <w:name w:val="footer"/>
    <w:basedOn w:val="a"/>
    <w:link w:val="af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Pr>
      <w:rFonts w:ascii="Calibri" w:eastAsia="Calibri" w:hAnsi="Calibri" w:cs="Times New Roman"/>
    </w:rPr>
  </w:style>
  <w:style w:type="paragraph" w:customStyle="1" w:styleId="ConsPlusNormal">
    <w:name w:val="ConsPlusNormal"/>
    <w:qFormat/>
    <w:pPr>
      <w:widowControl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eastAsia="Times New Roman"/>
      <w:b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Pr>
      <w:color w:val="0563C1" w:themeColor="hyperlink"/>
      <w:u w:val="single"/>
    </w:rPr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pPr>
      <w:spacing w:after="0" w:line="240" w:lineRule="auto"/>
    </w:pPr>
    <w:rPr>
      <w:rFonts w:ascii="Liberation Serif" w:eastAsia="SimSun" w:hAnsi="Liberation Serif" w:cs="Times New Roman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56" w:lineRule="auto"/>
    </w:pPr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character" w:customStyle="1" w:styleId="af0">
    <w:name w:val="Цветовое выделение"/>
    <w:uiPriority w:val="99"/>
    <w:rPr>
      <w:b/>
      <w:bCs w:val="0"/>
      <w:color w:val="26282F"/>
    </w:rPr>
  </w:style>
  <w:style w:type="paragraph" w:styleId="af1">
    <w:name w:val="header"/>
    <w:basedOn w:val="a"/>
    <w:link w:val="a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Pr>
      <w:rFonts w:ascii="Calibri" w:eastAsia="Calibri" w:hAnsi="Calibri" w:cs="Times New Roman"/>
    </w:rPr>
  </w:style>
  <w:style w:type="paragraph" w:styleId="af3">
    <w:name w:val="footer"/>
    <w:basedOn w:val="a"/>
    <w:link w:val="af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Pr>
      <w:rFonts w:ascii="Calibri" w:eastAsia="Calibri" w:hAnsi="Calibri" w:cs="Times New Roman"/>
    </w:rPr>
  </w:style>
  <w:style w:type="paragraph" w:customStyle="1" w:styleId="ConsPlusNormal">
    <w:name w:val="ConsPlusNormal"/>
    <w:qFormat/>
    <w:pPr>
      <w:widowControl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eastAsia="Times New Roman"/>
      <w:b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Pr>
      <w:color w:val="0563C1" w:themeColor="hyperlink"/>
      <w:u w:val="single"/>
    </w:rPr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pPr>
      <w:spacing w:after="0" w:line="240" w:lineRule="auto"/>
    </w:pPr>
    <w:rPr>
      <w:rFonts w:ascii="Liberation Serif" w:eastAsia="SimSun" w:hAnsi="Liberation Serif" w:cs="Times New Roman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173688957AB4A79629BB9D2227485BFD5ABCCEA0A4761AB06D30E218A84A343B5D6F3275C931BD6874497940281C0E91B3054C672WAF8G" TargetMode="External"/><Relationship Id="rId18" Type="http://schemas.openxmlformats.org/officeDocument/2006/relationships/hyperlink" Target="https://rmsp.nalog.ru/static/tree2.html?inp=okved1&amp;tree=RSMP_OKVED_1&amp;treeKind=LINKED&amp;aver=1.36.4&amp;sver=4.39.5&amp;pageStyle=RSMP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E173688957AB4A79629BB9D2227485BFD5A0C8E7094E61AB06D30E218A84A343B5D6F3205D951080D00B96C844D6D3EB1D3056C26EA8C304W4F1G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173688957AB4A79629BB9D2227485BFD5ABCCEA0A4761AB06D30E218A84A343B5D6F3275D931BD6874497940281C0E91B3054C672WAF8G" TargetMode="External"/><Relationship Id="rId17" Type="http://schemas.openxmlformats.org/officeDocument/2006/relationships/hyperlink" Target="consultantplus://offline/ref=E173688957AB4A79629BB9D2227485BFD5A8C8EC074661AB06D30E218A84A343B5D6F3205D951081D40B96C844D6D3EB1D3056C26EA8C304W4F1G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173688957AB4A79629BB9D2227485BFD5AECFEB094161AB06D30E218A84A343A7D6AB2C5F970E82D21EC09902W8F1G" TargetMode="External"/><Relationship Id="rId20" Type="http://schemas.openxmlformats.org/officeDocument/2006/relationships/hyperlink" Target="consultantplus://offline/ref=E173688957AB4A79629BB9D2227485BFD4AEC4E60E4461AB06D30E218A84A343B5D6F3205D951083D70B96C844D6D3EB1D3056C26EA8C304W4F1G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173688957AB4A79629BB9D2227485BFD5ABCCEA0A4761AB06D30E218A84A343B5D6F32956C141C6830DC09B1E83DAF71D2E54WCF4G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173688957AB4A79629BA7DF3418DAB4DFA292E20F4E6BFE5D850876D5D4A516F596F5751ED11D83D601C09A07888AB85B7B5BC472B4C3025DD3C8C8WBF4G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E173688957AB4A79629BB9D2227485BFD5A1C4E60D4161AB06D30E218A84A343B5D6F3205D951585DF0B96C844D6D3EB1D3056C26EA8C304W4F1G" TargetMode="External"/><Relationship Id="rId19" Type="http://schemas.openxmlformats.org/officeDocument/2006/relationships/hyperlink" Target="consultantplus://offline/ref=E173688957AB4A79629BB9D2227485BFD2A9CEEA074161AB06D30E218A84A343B5D6F320599E44D39255CF9B029DDEED012C56C4W7F2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173688957AB4A79629BB9D2227485BFD5ABCCEA0A4761AB06D30E218A84A343B5D6F3255D961BD6874497940281C0E91B3054C672WAF8G" TargetMode="External"/><Relationship Id="rId14" Type="http://schemas.openxmlformats.org/officeDocument/2006/relationships/hyperlink" Target="consultantplus://offline/ref=E173688957AB4A79629BB9D2227485BFD5ACC4EF0C4161AB06D30E218A84A343A7D6AB2C5F970E82D21EC09902W8F1G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B3885-16B6-4A25-83CD-9205532C6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7139</Words>
  <Characters>40695</Characters>
  <Application>Microsoft Office Word</Application>
  <DocSecurity>4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Воробьева Елена Анатольевна</dc:creator>
  <cp:lastModifiedBy>Ануфриева Наталья Андреевна</cp:lastModifiedBy>
  <cp:revision>2</cp:revision>
  <cp:lastPrinted>2024-06-24T08:53:00Z</cp:lastPrinted>
  <dcterms:created xsi:type="dcterms:W3CDTF">2024-07-02T06:31:00Z</dcterms:created>
  <dcterms:modified xsi:type="dcterms:W3CDTF">2024-07-02T06:31:00Z</dcterms:modified>
</cp:coreProperties>
</file>