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2351"/>
        <w:gridCol w:w="4218"/>
      </w:tblGrid>
      <w:tr w:rsidR="00E448EE">
        <w:tc>
          <w:tcPr>
            <w:tcW w:w="3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8EE" w:rsidRDefault="00E448EE">
            <w:pPr>
              <w:tabs>
                <w:tab w:val="left" w:pos="5103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8EE" w:rsidRDefault="00E448EE">
            <w:pPr>
              <w:tabs>
                <w:tab w:val="left" w:pos="5103"/>
              </w:tabs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448EE" w:rsidRDefault="003E74E0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УТВЕРЖДЕНА</w:t>
            </w:r>
            <w:r>
              <w:rPr>
                <w:rFonts w:eastAsia="BatangChe"/>
                <w:sz w:val="28"/>
                <w:szCs w:val="28"/>
              </w:rPr>
              <w:br/>
              <w:t>постановлением администрации</w:t>
            </w:r>
          </w:p>
          <w:p w:rsidR="00E448EE" w:rsidRDefault="003E74E0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Копейского городского округа</w:t>
            </w:r>
          </w:p>
          <w:p w:rsidR="00E448EE" w:rsidRDefault="003E74E0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>от 01.12.2020  № 2693-п</w:t>
            </w:r>
          </w:p>
          <w:p w:rsidR="00E448EE" w:rsidRDefault="003E74E0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 xml:space="preserve">(в редакции постановления администрации Копейского городского округа </w:t>
            </w:r>
          </w:p>
          <w:p w:rsidR="00E448EE" w:rsidRDefault="003E74E0">
            <w:pPr>
              <w:tabs>
                <w:tab w:val="left" w:pos="5103"/>
              </w:tabs>
              <w:jc w:val="both"/>
              <w:rPr>
                <w:rFonts w:eastAsia="BatangChe"/>
              </w:rPr>
            </w:pPr>
            <w:r>
              <w:rPr>
                <w:rFonts w:eastAsia="BatangChe"/>
                <w:sz w:val="28"/>
                <w:szCs w:val="28"/>
              </w:rPr>
              <w:t xml:space="preserve">от 28.01.2022 </w:t>
            </w:r>
            <w:r>
              <w:rPr>
                <w:rFonts w:eastAsia="BatangChe"/>
                <w:sz w:val="28"/>
                <w:szCs w:val="28"/>
              </w:rPr>
              <w:t>№ 250-п</w:t>
            </w:r>
            <w:bookmarkStart w:id="0" w:name="_GoBack"/>
            <w:bookmarkEnd w:id="0"/>
            <w:r>
              <w:rPr>
                <w:rFonts w:eastAsia="BatangChe"/>
                <w:sz w:val="28"/>
                <w:szCs w:val="28"/>
              </w:rPr>
              <w:t>)</w:t>
            </w:r>
          </w:p>
          <w:p w:rsidR="00E448EE" w:rsidRDefault="00E448EE">
            <w:pPr>
              <w:tabs>
                <w:tab w:val="left" w:pos="5103"/>
              </w:tabs>
              <w:jc w:val="both"/>
              <w:rPr>
                <w:rFonts w:eastAsia="BatangChe"/>
                <w:sz w:val="28"/>
                <w:szCs w:val="28"/>
              </w:rPr>
            </w:pPr>
          </w:p>
        </w:tc>
      </w:tr>
    </w:tbl>
    <w:p w:rsidR="00E448EE" w:rsidRDefault="00E448EE">
      <w:pPr>
        <w:tabs>
          <w:tab w:val="left" w:pos="5103"/>
        </w:tabs>
        <w:ind w:left="5103"/>
        <w:rPr>
          <w:rFonts w:eastAsia="BatangChe"/>
        </w:rPr>
      </w:pPr>
    </w:p>
    <w:p w:rsidR="00E448EE" w:rsidRDefault="00E448EE">
      <w:pPr>
        <w:rPr>
          <w:color w:val="000000"/>
          <w:sz w:val="28"/>
          <w:szCs w:val="28"/>
        </w:rPr>
      </w:pPr>
    </w:p>
    <w:p w:rsidR="00E448EE" w:rsidRDefault="00E448EE">
      <w:pPr>
        <w:ind w:firstLine="5245"/>
        <w:jc w:val="right"/>
        <w:rPr>
          <w:color w:val="000000"/>
          <w:sz w:val="28"/>
          <w:szCs w:val="28"/>
        </w:rPr>
      </w:pPr>
    </w:p>
    <w:p w:rsidR="00E448EE" w:rsidRDefault="00E448EE">
      <w:pPr>
        <w:ind w:firstLine="5245"/>
        <w:jc w:val="right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3E74E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Муниципальная программа</w:t>
      </w:r>
    </w:p>
    <w:p w:rsidR="00E448EE" w:rsidRDefault="003E74E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  <w:r>
        <w:br w:type="page"/>
      </w:r>
    </w:p>
    <w:p w:rsidR="00E448EE" w:rsidRDefault="003E74E0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ПАСПОРТ</w:t>
      </w:r>
    </w:p>
    <w:p w:rsidR="00E448EE" w:rsidRDefault="003E74E0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</w:p>
    <w:p w:rsidR="00E448EE" w:rsidRDefault="003E74E0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«Развитие дорожного хозяйства  Копейского городского округа»</w:t>
      </w:r>
    </w:p>
    <w:p w:rsidR="00E448EE" w:rsidRDefault="003E74E0">
      <w:pPr>
        <w:tabs>
          <w:tab w:val="left" w:pos="7020"/>
        </w:tabs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(далее – муниципальная программа)</w:t>
      </w:r>
    </w:p>
    <w:p w:rsidR="00E448EE" w:rsidRDefault="00E448EE">
      <w:pPr>
        <w:tabs>
          <w:tab w:val="left" w:pos="7020"/>
        </w:tabs>
        <w:jc w:val="center"/>
        <w:rPr>
          <w:color w:val="000000"/>
          <w:sz w:val="28"/>
          <w:szCs w:val="28"/>
        </w:rPr>
      </w:pPr>
    </w:p>
    <w:p w:rsidR="00E448EE" w:rsidRDefault="003E74E0">
      <w:pPr>
        <w:pStyle w:val="aff1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Ответственный исполнитель муниципальной п</w:t>
      </w:r>
      <w:r>
        <w:rPr>
          <w:color w:val="000000" w:themeColor="text1"/>
          <w:sz w:val="28"/>
          <w:szCs w:val="28"/>
        </w:rPr>
        <w:t>рограммы: управление городского хозяйства администрации Копейского городского округа (далее – УГХ, округ).</w:t>
      </w:r>
    </w:p>
    <w:p w:rsidR="00E448EE" w:rsidRDefault="003E74E0">
      <w:pPr>
        <w:pStyle w:val="aff1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Соисполнители муниципальной   программы: </w:t>
      </w:r>
    </w:p>
    <w:p w:rsidR="00E448EE" w:rsidRDefault="003E74E0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учреждение «Городская служба заказчика» (далее – МУ «ГСЗ»);</w:t>
      </w:r>
    </w:p>
    <w:p w:rsidR="00E448EE" w:rsidRDefault="003E74E0">
      <w:pPr>
        <w:pStyle w:val="aff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муниципальное учреждение Копейско</w:t>
      </w:r>
      <w:r>
        <w:rPr>
          <w:color w:val="000000" w:themeColor="text1"/>
          <w:sz w:val="28"/>
          <w:szCs w:val="28"/>
        </w:rPr>
        <w:t>го городского округа «Управление строительства» (далее – МУ «УС»).</w:t>
      </w:r>
    </w:p>
    <w:p w:rsidR="00E448EE" w:rsidRDefault="003E74E0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Подпрограммы муниципальной программы отсутствуют.</w:t>
      </w:r>
    </w:p>
    <w:p w:rsidR="00E448EE" w:rsidRDefault="003E74E0">
      <w:pPr>
        <w:pStyle w:val="af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Проекты муниципальной программы отсутствуют.</w:t>
      </w:r>
    </w:p>
    <w:p w:rsidR="00E448EE" w:rsidRDefault="003E74E0">
      <w:pPr>
        <w:pStyle w:val="aff1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Цели, задачи и целевые показатели муниципальной программы:                                                                                                  </w:t>
      </w:r>
    </w:p>
    <w:p w:rsidR="00E448EE" w:rsidRDefault="003E74E0">
      <w:pPr>
        <w:pStyle w:val="aff1"/>
        <w:shd w:val="clear" w:color="auto" w:fill="FFFFFF"/>
        <w:ind w:left="0"/>
        <w:jc w:val="right"/>
        <w:rPr>
          <w:color w:val="000000"/>
        </w:rPr>
      </w:pPr>
      <w:r>
        <w:rPr>
          <w:color w:val="000000" w:themeColor="text1"/>
        </w:rPr>
        <w:t>Таблица 1</w:t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"/>
        <w:gridCol w:w="4044"/>
        <w:gridCol w:w="874"/>
        <w:gridCol w:w="841"/>
        <w:gridCol w:w="845"/>
        <w:gridCol w:w="842"/>
        <w:gridCol w:w="1123"/>
      </w:tblGrid>
      <w:tr w:rsidR="00E448EE">
        <w:trPr>
          <w:trHeight w:val="344"/>
        </w:trPr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3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Цели, задачи муниципальной программы, наименование и единица измерения целевого </w:t>
            </w:r>
            <w:r>
              <w:rPr>
                <w:color w:val="000000" w:themeColor="text1"/>
              </w:rPr>
              <w:t>показателя</w:t>
            </w:r>
          </w:p>
        </w:tc>
        <w:tc>
          <w:tcPr>
            <w:tcW w:w="44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Значение целевого показателя</w:t>
            </w:r>
          </w:p>
        </w:tc>
      </w:tr>
      <w:tr w:rsidR="00E448EE">
        <w:tc>
          <w:tcPr>
            <w:tcW w:w="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3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год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Итого:</w:t>
            </w:r>
          </w:p>
        </w:tc>
      </w:tr>
      <w:tr w:rsidR="00E448EE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8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E448EE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83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E448EE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Общая протяженность автомобильны</w:t>
            </w:r>
            <w:r>
              <w:rPr>
                <w:color w:val="000000" w:themeColor="text1"/>
              </w:rPr>
              <w:t>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километры*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13,28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10,70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8,30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9,60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41,</w:t>
            </w:r>
            <w:r>
              <w:rPr>
                <w:color w:val="000000" w:themeColor="text1"/>
              </w:rPr>
              <w:t>88</w:t>
            </w:r>
          </w:p>
        </w:tc>
      </w:tr>
      <w:tr w:rsidR="00E448EE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километры*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15,98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63,98</w:t>
            </w:r>
          </w:p>
        </w:tc>
      </w:tr>
    </w:tbl>
    <w:p w:rsidR="00E448EE" w:rsidRDefault="00E448EE"/>
    <w:p w:rsidR="00E448EE" w:rsidRDefault="003E74E0">
      <w:pPr>
        <w:jc w:val="right"/>
      </w:pPr>
      <w:r>
        <w:t>Окончание таблицы 1</w:t>
      </w:r>
    </w:p>
    <w:tbl>
      <w:tblPr>
        <w:tblW w:w="4850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0"/>
        <w:gridCol w:w="3616"/>
        <w:gridCol w:w="991"/>
        <w:gridCol w:w="991"/>
        <w:gridCol w:w="991"/>
        <w:gridCol w:w="991"/>
        <w:gridCol w:w="1054"/>
      </w:tblGrid>
      <w:tr w:rsidR="00E448EE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color w:val="000000"/>
              </w:rPr>
            </w:pPr>
            <w:r>
              <w:rPr>
                <w:color w:val="000000" w:themeColor="text1"/>
              </w:rPr>
              <w:t>общая протяженность улично-</w:t>
            </w:r>
            <w:r>
              <w:rPr>
                <w:color w:val="000000" w:themeColor="text1"/>
              </w:rPr>
              <w:lastRenderedPageBreak/>
              <w:t>дорожной сети, километров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441,7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455,2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455,2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455,2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455,2</w:t>
            </w:r>
          </w:p>
        </w:tc>
      </w:tr>
      <w:tr w:rsidR="00E448EE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1.1.4.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color w:val="000000"/>
              </w:rPr>
            </w:pPr>
            <w:r>
              <w:rPr>
                <w:color w:val="000000" w:themeColor="text1"/>
              </w:rPr>
              <w:t>Количество полученных положительных заключений государственной экспертизы, шт.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448EE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vertAlign w:val="superscript"/>
              </w:rPr>
            </w:pPr>
            <w:r>
              <w:t>Площадь п</w:t>
            </w:r>
            <w:r>
              <w:t>риведенных тротуаров в соответствие с нормативными требованиями к транспортно-эксплуатационному состоянию,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2818,80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2000,00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r>
              <w:rPr>
                <w:color w:val="000000" w:themeColor="text1"/>
              </w:rPr>
              <w:t>2000,00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r>
              <w:rPr>
                <w:color w:val="000000" w:themeColor="text1"/>
              </w:rPr>
              <w:t>2000,00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8818,8</w:t>
            </w:r>
          </w:p>
        </w:tc>
      </w:tr>
      <w:tr w:rsidR="00E448EE"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</w:tc>
        <w:tc>
          <w:tcPr>
            <w:tcW w:w="3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r>
              <w:t>Количество пешеходных переходов обустроенных в соответствие с национальными стандартами на территории Копейского городского округа, шт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37</w:t>
            </w:r>
          </w:p>
        </w:tc>
      </w:tr>
      <w:tr w:rsidR="00E448EE">
        <w:trPr>
          <w:trHeight w:val="276"/>
        </w:trPr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3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r>
              <w:t xml:space="preserve">Количество </w:t>
            </w:r>
            <w:r>
              <w:rPr>
                <w:color w:val="000000"/>
                <w:spacing w:val="2"/>
              </w:rPr>
              <w:t xml:space="preserve">остановочных пунктов, разворотных площадок оборудованных в соответствии с национальным стандартом РФ ГОСТ Р 52766-2007 </w:t>
            </w:r>
          </w:p>
        </w:tc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78</w:t>
            </w:r>
          </w:p>
        </w:tc>
      </w:tr>
    </w:tbl>
    <w:p w:rsidR="00E448EE" w:rsidRDefault="003E74E0">
      <w:pPr>
        <w:jc w:val="both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*- Значения показателей могут корректироваться </w:t>
      </w:r>
      <w:r>
        <w:rPr>
          <w:color w:val="000000" w:themeColor="text1"/>
          <w:sz w:val="20"/>
          <w:szCs w:val="20"/>
        </w:rPr>
        <w:t>в зависимости от объема финансирования мероприятий в соответствии с решением Собрания депутатов округа на текущий год и  на плановые годы.</w:t>
      </w:r>
    </w:p>
    <w:p w:rsidR="00E448EE" w:rsidRDefault="00E448EE">
      <w:pPr>
        <w:jc w:val="both"/>
        <w:rPr>
          <w:color w:val="000000"/>
          <w:sz w:val="20"/>
          <w:szCs w:val="20"/>
        </w:rPr>
      </w:pPr>
    </w:p>
    <w:p w:rsidR="00E448EE" w:rsidRDefault="003E74E0">
      <w:pPr>
        <w:pStyle w:val="aff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Сроки муниципальной программы: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2021 - 2024 годы. Муниципальная программа реализуется в 2 этапа: 2021-2023 годы – первый этап; 2024 г. - второй этап. </w:t>
      </w:r>
    </w:p>
    <w:p w:rsidR="00E448EE" w:rsidRDefault="003E74E0">
      <w:pPr>
        <w:pStyle w:val="aff1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финансового обеспечения муниципальной программы в 2021 - 2024 годах составит  796 432,92  тыс. рублей, в том числе:</w:t>
      </w:r>
    </w:p>
    <w:p w:rsidR="00E448EE" w:rsidRDefault="00E448EE">
      <w:pPr>
        <w:shd w:val="clear" w:color="auto" w:fill="FFFFFF"/>
        <w:ind w:firstLine="709"/>
        <w:jc w:val="right"/>
        <w:rPr>
          <w:color w:val="000000"/>
          <w:sz w:val="16"/>
          <w:szCs w:val="28"/>
        </w:rPr>
      </w:pPr>
    </w:p>
    <w:p w:rsidR="00E448EE" w:rsidRDefault="003E74E0">
      <w:pPr>
        <w:shd w:val="clear" w:color="auto" w:fill="FFFFFF"/>
        <w:ind w:firstLine="709"/>
        <w:jc w:val="right"/>
        <w:rPr>
          <w:color w:val="000000"/>
        </w:rPr>
      </w:pPr>
      <w:r>
        <w:rPr>
          <w:color w:val="000000" w:themeColor="text1"/>
        </w:rPr>
        <w:t xml:space="preserve">Таблица </w:t>
      </w:r>
      <w:r>
        <w:rPr>
          <w:color w:val="000000" w:themeColor="text1"/>
        </w:rPr>
        <w:t>2</w:t>
      </w: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92"/>
        <w:gridCol w:w="2268"/>
        <w:gridCol w:w="2126"/>
        <w:gridCol w:w="1843"/>
        <w:gridCol w:w="2410"/>
      </w:tblGrid>
      <w:tr w:rsidR="00E448EE">
        <w:trPr>
          <w:trHeight w:val="380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Источник финансирования (тыс. руб.)</w:t>
            </w:r>
          </w:p>
        </w:tc>
      </w:tr>
      <w:tr w:rsidR="00E448EE">
        <w:trPr>
          <w:trHeight w:val="602"/>
        </w:trPr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областной</w:t>
            </w:r>
          </w:p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федеральный</w:t>
            </w:r>
          </w:p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E448EE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79 359,63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189 502,69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268 862,32</w:t>
            </w:r>
          </w:p>
        </w:tc>
      </w:tr>
      <w:tr w:rsidR="00E448EE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61 218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167 398,40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228 616,40</w:t>
            </w:r>
          </w:p>
        </w:tc>
      </w:tr>
      <w:tr w:rsidR="00E448EE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55 052,70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95 343,40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150 396,10</w:t>
            </w:r>
          </w:p>
        </w:tc>
      </w:tr>
      <w:tr w:rsidR="00E448EE">
        <w:trPr>
          <w:trHeight w:val="359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55 052,70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95 545,40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150 598,10</w:t>
            </w:r>
          </w:p>
        </w:tc>
      </w:tr>
      <w:tr w:rsidR="00E448EE">
        <w:trPr>
          <w:trHeight w:val="32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250 683,03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547 789,89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798 472,92</w:t>
            </w:r>
          </w:p>
        </w:tc>
      </w:tr>
    </w:tbl>
    <w:p w:rsidR="00E448EE" w:rsidRDefault="00E448EE">
      <w:pPr>
        <w:ind w:left="927"/>
        <w:jc w:val="both"/>
        <w:rPr>
          <w:color w:val="000000"/>
          <w:sz w:val="28"/>
          <w:szCs w:val="28"/>
        </w:rPr>
      </w:pP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8. Ожидаемые конечные результаты реализации муниципальной программы: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общая протяженность отремонтированных автомобильных дорог общего пользования местного значения с твердым покрытием, соответствующих нормативным требованиям  транспортно-эксплуатационным  показателям -  41,88  км;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 - 63,98 км;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общая протяженность улично-дорожной сети, километров - 4</w:t>
      </w:r>
      <w:r>
        <w:rPr>
          <w:color w:val="000000" w:themeColor="text1"/>
          <w:sz w:val="28"/>
          <w:szCs w:val="28"/>
        </w:rPr>
        <w:t>55,2 км;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количество положительных заключений государственной экспертизы –  3 шт.;</w:t>
      </w:r>
    </w:p>
    <w:p w:rsidR="00E448EE" w:rsidRDefault="003E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приведенных тротуаров в соответствие с нормативными требованиями к транспортно-эксплуатационному состоянию – 8818,8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</w:p>
    <w:p w:rsidR="00E448EE" w:rsidRDefault="003E74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обустроенных пешеходных переходов – 37 шт;</w:t>
      </w:r>
    </w:p>
    <w:p w:rsidR="00E448EE" w:rsidRDefault="003E74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</w:t>
      </w:r>
      <w:r>
        <w:rPr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остановочных пунктов, разворотных площадок оборудованных в соответствии с национальным стандартом РФ ГОСТ Р 52766-2007 - 78 ед. </w:t>
      </w:r>
    </w:p>
    <w:p w:rsidR="00E448EE" w:rsidRDefault="00E448EE">
      <w:pPr>
        <w:ind w:firstLine="709"/>
        <w:jc w:val="both"/>
        <w:rPr>
          <w:sz w:val="28"/>
          <w:szCs w:val="28"/>
        </w:rPr>
      </w:pPr>
    </w:p>
    <w:p w:rsidR="00E448EE" w:rsidRDefault="003E74E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 Приоритеты и цели муниципальной политики, вклю</w:t>
      </w:r>
      <w:r>
        <w:rPr>
          <w:color w:val="000000" w:themeColor="text1"/>
          <w:sz w:val="28"/>
          <w:szCs w:val="28"/>
        </w:rPr>
        <w:t>чая характеристику текущего состояния сферы реализации муниципальной программы</w:t>
      </w:r>
    </w:p>
    <w:p w:rsidR="00E448EE" w:rsidRDefault="00E448EE">
      <w:pPr>
        <w:ind w:firstLine="709"/>
        <w:jc w:val="center"/>
        <w:rPr>
          <w:color w:val="000000"/>
          <w:sz w:val="28"/>
          <w:szCs w:val="28"/>
        </w:rPr>
      </w:pP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Округ является одним из наиболее крупных в экономическом отношении муниципальным образованием Челябинской области с развитой инфраструктурой и выгодным транспортно-географич</w:t>
      </w:r>
      <w:r>
        <w:rPr>
          <w:color w:val="000000" w:themeColor="text1"/>
          <w:sz w:val="28"/>
          <w:szCs w:val="28"/>
        </w:rPr>
        <w:t>еским положением, способствующим развитию межмуниципального сотрудничества.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округа общей площадью 35 576,1 га проживает на 01.01.2021  148 900 человек. В состав округа входят 4 населенных пункта:                   г. Копейск, села Калачево и </w:t>
      </w:r>
      <w:r>
        <w:rPr>
          <w:color w:val="000000" w:themeColor="text1"/>
          <w:sz w:val="28"/>
          <w:szCs w:val="28"/>
        </w:rPr>
        <w:t xml:space="preserve">Синеглазово, пос. Заозерный. Плотность населения 420,9 чел/ кв. км. 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пространственного и комфортного развития округа стратегическое значение имеют автомобильные дороги. Они связывают территорию, обеспечивают жизнедеятельность г. Копейска и  населенных </w:t>
      </w:r>
      <w:r>
        <w:rPr>
          <w:color w:val="000000" w:themeColor="text1"/>
          <w:sz w:val="28"/>
          <w:szCs w:val="28"/>
        </w:rPr>
        <w:t>пунктов округов, во многом определяют возможности их развития.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</w:t>
      </w:r>
      <w:r>
        <w:rPr>
          <w:color w:val="000000" w:themeColor="text1"/>
          <w:sz w:val="28"/>
          <w:szCs w:val="28"/>
        </w:rPr>
        <w:t xml:space="preserve"> затрат времени на перевозки. Более                   50 процентов отраслей экономики округа  ориентированы в своей деятельности на использование автомобильного транспорта, эффективность которого связана с уровнем развития автомобильных дорог.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Дорожное </w:t>
      </w:r>
      <w:r>
        <w:rPr>
          <w:color w:val="000000" w:themeColor="text1"/>
          <w:sz w:val="28"/>
          <w:szCs w:val="28"/>
        </w:rPr>
        <w:t>хозяйство является важной составной частью производственной инфраструктуры округа и представляет собой мощный имущественный комплекс.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1 января 2021 года протяженность автомобильных дорог общего пользования местного значения на территории ок</w:t>
      </w:r>
      <w:r>
        <w:rPr>
          <w:color w:val="000000" w:themeColor="text1"/>
          <w:sz w:val="28"/>
          <w:szCs w:val="28"/>
        </w:rPr>
        <w:t>руга составила                441,7 км, в том числе с твердым покрытием - 141,4 км, грунтовым покрытием -300,3 км.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 Основная часть автомобильных дорог общего пользования местного значения свыше 85 % - это дороги III и IV категории, протяженность дорог   </w:t>
      </w:r>
      <w:r>
        <w:rPr>
          <w:color w:val="000000" w:themeColor="text1"/>
          <w:sz w:val="28"/>
          <w:szCs w:val="28"/>
        </w:rPr>
        <w:t xml:space="preserve">             I категории составляет 57,88 км или 13,1 %.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Характерной чертой последнего десятилетия в округе являлось развитие дорожного хозяйства с комплексом мер, направленных на содержание и формирование эффективной опорной сети автомобильных дорог общег</w:t>
      </w:r>
      <w:r>
        <w:rPr>
          <w:color w:val="000000" w:themeColor="text1"/>
          <w:sz w:val="28"/>
          <w:szCs w:val="28"/>
        </w:rPr>
        <w:t>о пользования.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поставленных задач обеспечивалось за счет увеличения протяженности дорог с твердым покрытием, соответствующих нормативным требованиям. На сегодняшний день этот показатель составляет 32 процента. Этому способствовал ежегодный рост объ</w:t>
      </w:r>
      <w:r>
        <w:rPr>
          <w:color w:val="000000" w:themeColor="text1"/>
          <w:sz w:val="28"/>
          <w:szCs w:val="28"/>
        </w:rPr>
        <w:t>ема инвестиций в дорожную отрасль. В настоящее время современная развитая сеть автомобильных дорог общего пользования призвана стать основным инструментом реализации государственной политики, приоритетами которой являются ликвидация кризисных последствий и</w:t>
      </w:r>
      <w:r>
        <w:rPr>
          <w:color w:val="000000" w:themeColor="text1"/>
          <w:sz w:val="28"/>
          <w:szCs w:val="28"/>
        </w:rPr>
        <w:t xml:space="preserve"> восстановление темпов экономического развития.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Несмотря на достигнутые результаты, по-прежнему остаются актуальными следующие проблемы: 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наличие автодорог с грунтовым покрытием 300,3 км;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близкие к предельному  износу автодороги с твердым покрытием.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Постоянный рост интенсивности движения по автомобильным дорогам привел к тому, что большая часть дорог округа имеет высокую степень износа.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вышеуказанное влияет на ограничение роста экономики округа и негативным образом сказывается на безопасности дор</w:t>
      </w:r>
      <w:r>
        <w:rPr>
          <w:color w:val="000000" w:themeColor="text1"/>
          <w:sz w:val="28"/>
          <w:szCs w:val="28"/>
        </w:rPr>
        <w:t>ожного движения на автомобильных дорогах и состоянии окружающей среды.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5. Округ имеет развитую сеть транспортного сообщения, представленную автомобильным транспортом. Самым распространенным видом пассажирского транспорта являются автобусы. Разветвленная се</w:t>
      </w:r>
      <w:r>
        <w:rPr>
          <w:color w:val="000000" w:themeColor="text1"/>
          <w:sz w:val="28"/>
          <w:szCs w:val="28"/>
        </w:rPr>
        <w:t xml:space="preserve">ть автобусных маршрутов включает в себя муниципальные маршруты, связывающие город  Копейск с населенными пунктами округа. 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округа  действуют  36 муниципальных маршрутов пассажирских перевозок. Сооружениями, повышающими безопасность дорожного </w:t>
      </w:r>
      <w:r>
        <w:rPr>
          <w:color w:val="000000" w:themeColor="text1"/>
          <w:sz w:val="28"/>
          <w:szCs w:val="28"/>
        </w:rPr>
        <w:t>движения на автомобильных дорогах округа,  являются: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автобусные остановки, которых на территории округа 221;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протяженность линий освещения на автомобильных дорогах – 176,8 км;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светофорные объекты – 57 штук, включая светофоры Т 7. 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Реализация муниципа</w:t>
      </w:r>
      <w:r>
        <w:rPr>
          <w:color w:val="000000" w:themeColor="text1"/>
          <w:sz w:val="28"/>
          <w:szCs w:val="28"/>
        </w:rPr>
        <w:t>льной программы и достижение показателей муниципальной программы будет достигнута путем выполнения комплекса мероприятий по содержанию, текущему и капитальному ремонту, строительству объектов улично-дорожной сети округа.</w:t>
      </w:r>
    </w:p>
    <w:p w:rsidR="00E448EE" w:rsidRDefault="003E74E0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II. Основные цели и задачи</w:t>
      </w:r>
    </w:p>
    <w:p w:rsidR="00E448EE" w:rsidRDefault="003E74E0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6. Основные цели и задачи муниципальной программы сформированы в соответствии со стратегией развития улично-дорожной сети округа.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7. Основной целью</w:t>
      </w:r>
      <w:r>
        <w:rPr>
          <w:color w:val="000000" w:themeColor="text1"/>
          <w:sz w:val="28"/>
          <w:szCs w:val="28"/>
        </w:rPr>
        <w:t xml:space="preserve"> муниципальной программы является обеспечение безопасного сообщения по автомобильным дорогам общего пользования местного значения и совершенствование улично-дорожной сети округа.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8. Для достижения цели муниципальной программы необходимо решение следующих з</w:t>
      </w:r>
      <w:r>
        <w:rPr>
          <w:color w:val="000000" w:themeColor="text1"/>
          <w:sz w:val="28"/>
          <w:szCs w:val="28"/>
        </w:rPr>
        <w:t>адач: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движения.</w:t>
      </w:r>
    </w:p>
    <w:p w:rsidR="00E448EE" w:rsidRDefault="00E448EE">
      <w:pPr>
        <w:ind w:firstLine="709"/>
        <w:jc w:val="both"/>
        <w:rPr>
          <w:color w:val="000000"/>
          <w:sz w:val="28"/>
          <w:szCs w:val="28"/>
        </w:rPr>
      </w:pPr>
    </w:p>
    <w:p w:rsidR="00E448EE" w:rsidRDefault="003E74E0">
      <w:pPr>
        <w:ind w:firstLine="709"/>
        <w:jc w:val="center"/>
        <w:rPr>
          <w:color w:val="000000"/>
          <w:spacing w:val="2"/>
          <w:sz w:val="28"/>
          <w:szCs w:val="28"/>
          <w:highlight w:val="white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Раздел III. Перечень мероприятий и фин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ансово-экономическое обоснование муниципальной программы</w:t>
      </w:r>
    </w:p>
    <w:p w:rsidR="00E448EE" w:rsidRDefault="00E448EE">
      <w:pPr>
        <w:ind w:firstLine="709"/>
        <w:jc w:val="center"/>
        <w:rPr>
          <w:color w:val="000000"/>
          <w:sz w:val="28"/>
          <w:szCs w:val="28"/>
        </w:rPr>
      </w:pPr>
    </w:p>
    <w:p w:rsidR="00E448EE" w:rsidRDefault="003E74E0">
      <w:pPr>
        <w:pStyle w:val="ConsPlusCell"/>
        <w:numPr>
          <w:ilvl w:val="0"/>
          <w:numId w:val="4"/>
        </w:numPr>
        <w:ind w:left="0" w:firstLine="709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sectPr w:rsidR="00E448EE">
          <w:headerReference w:type="default" r:id="rId10"/>
          <w:headerReference w:type="first" r:id="rId11"/>
          <w:footerReference w:type="first" r:id="rId12"/>
          <w:pgSz w:w="11906" w:h="16838"/>
          <w:pgMar w:top="993" w:right="567" w:bottom="1134" w:left="1701" w:header="709" w:footer="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Перечень мероприятий и финансово-экономическое обоснование представлены в таблице 3.</w:t>
      </w:r>
    </w:p>
    <w:p w:rsidR="00E448EE" w:rsidRDefault="003E74E0">
      <w:pPr>
        <w:pStyle w:val="ConsPlusCel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мероприятий и финансово-экономическое обоснование муниципальной программы</w:t>
      </w: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3E74E0">
      <w:pPr>
        <w:jc w:val="right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>Таблица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34"/>
        <w:gridCol w:w="2306"/>
        <w:gridCol w:w="800"/>
        <w:gridCol w:w="709"/>
        <w:gridCol w:w="283"/>
        <w:gridCol w:w="710"/>
        <w:gridCol w:w="123"/>
        <w:gridCol w:w="1483"/>
        <w:gridCol w:w="93"/>
        <w:gridCol w:w="903"/>
        <w:gridCol w:w="55"/>
        <w:gridCol w:w="1504"/>
        <w:gridCol w:w="93"/>
        <w:gridCol w:w="1285"/>
        <w:gridCol w:w="138"/>
        <w:gridCol w:w="1278"/>
        <w:gridCol w:w="145"/>
        <w:gridCol w:w="1405"/>
        <w:gridCol w:w="1570"/>
      </w:tblGrid>
      <w:tr w:rsidR="00E448EE">
        <w:trPr>
          <w:trHeight w:val="656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23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Наименование мероприятий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Ответствен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ный исполнитель м</w:t>
            </w:r>
            <w:r>
              <w:rPr>
                <w:color w:val="000000" w:themeColor="text1"/>
              </w:rPr>
              <w:t>ероприя-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Сроки реализа-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ции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Источник финансиро-вания 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 показа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теля из паспорта про-грам-мы</w:t>
            </w:r>
          </w:p>
        </w:tc>
        <w:tc>
          <w:tcPr>
            <w:tcW w:w="747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E448EE">
        <w:trPr>
          <w:cantSplit/>
          <w:trHeight w:val="323"/>
        </w:trPr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2024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Итого</w:t>
            </w:r>
          </w:p>
        </w:tc>
      </w:tr>
      <w:tr w:rsidR="00E448EE">
        <w:trPr>
          <w:cantSplit/>
          <w:trHeight w:val="323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E448EE">
        <w:trPr>
          <w:cantSplit/>
          <w:trHeight w:val="323"/>
        </w:trPr>
        <w:tc>
          <w:tcPr>
            <w:tcW w:w="1601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E448EE">
        <w:trPr>
          <w:cantSplit/>
          <w:trHeight w:val="323"/>
        </w:trPr>
        <w:tc>
          <w:tcPr>
            <w:tcW w:w="16017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E448EE">
        <w:trPr>
          <w:cantSplit/>
          <w:trHeight w:val="6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3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t>Строительство, реконструкция, капитал</w:t>
            </w:r>
            <w:r>
              <w:t>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t>МУ «УС»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2021-2024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1.1.4.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1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268 862,31843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(189 502,69/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79 359,62843)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228 616,40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(167 398,40/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61 218,00)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150 396,10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(95 343,40/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55 052,70)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150 598,10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(95 545,40/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55 052,70)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798 472,91843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(547 789,89/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250 833,02843)</w:t>
            </w:r>
          </w:p>
        </w:tc>
      </w:tr>
      <w:tr w:rsidR="00E448EE">
        <w:trPr>
          <w:cantSplit/>
          <w:trHeight w:val="66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contextualSpacing/>
              <w:jc w:val="both"/>
            </w:pPr>
            <w:r>
              <w:t>Капитальный ремонт, ремонт и содержание автомобильных дорог общего пользования местного значения: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2021-2024</w:t>
            </w:r>
          </w:p>
        </w:tc>
        <w:tc>
          <w:tcPr>
            <w:tcW w:w="1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1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264 456,56543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(189 502,69/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74 953,87543)</w:t>
            </w: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150 772,20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(95 719,40/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55 052,80)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150 396,10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(95 343,40/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55 052,70)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150 598,10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(95 545,40/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55 052,70)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716 </w:t>
            </w:r>
            <w:r>
              <w:rPr>
                <w:color w:val="000000" w:themeColor="text1"/>
              </w:rPr>
              <w:t>222,96543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475 960,89/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240 </w:t>
            </w:r>
            <w:r>
              <w:rPr>
                <w:color w:val="000000" w:themeColor="text1"/>
              </w:rPr>
              <w:t>262,07543</w:t>
            </w:r>
            <w:r>
              <w:rPr>
                <w:color w:val="000000" w:themeColor="text1"/>
              </w:rPr>
              <w:t>)</w:t>
            </w:r>
          </w:p>
        </w:tc>
      </w:tr>
      <w:tr w:rsidR="00E448EE">
        <w:trPr>
          <w:trHeight w:val="667"/>
        </w:trPr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Содержание автодорог общего пользования местного значения, в том числе: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2021-2024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133</w:t>
            </w: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029,96811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(83 932,54217/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49 097,42594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130 748,10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(75 715,40/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55 032,70)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130 748,10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(75 715,40/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55 032,70)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130 748,10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(75 715,40/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55 032,70)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52</w:t>
            </w:r>
            <w:r>
              <w:rPr>
                <w:color w:val="000000" w:themeColor="text1"/>
              </w:rPr>
              <w:t>5 274,26811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(310 928,74217/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>4 345,52594</w:t>
            </w:r>
            <w:r>
              <w:rPr>
                <w:color w:val="000000" w:themeColor="text1"/>
              </w:rPr>
              <w:t>)</w:t>
            </w:r>
          </w:p>
        </w:tc>
      </w:tr>
    </w:tbl>
    <w:p w:rsidR="00E448EE" w:rsidRDefault="00E448EE">
      <w:pPr>
        <w:sectPr w:rsidR="00E448EE">
          <w:headerReference w:type="default" r:id="rId13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p w:rsidR="00E448EE" w:rsidRDefault="003E74E0">
      <w:pPr>
        <w:jc w:val="right"/>
        <w:rPr>
          <w:rFonts w:eastAsia="Times New Roman"/>
        </w:rPr>
        <w:sectPr w:rsidR="00E448EE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  <w:r>
        <w:rPr>
          <w:rFonts w:eastAsia="Times New Roman"/>
        </w:rPr>
        <w:lastRenderedPageBreak/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1.1.1.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содержание автодорог общего пользования местного значения на территории Копейского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2021-2024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130 921,19952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(83 782,54217/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47 138,65735)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130 588,10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(75 715,40/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54 872,7)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130 588,10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(75 715,40/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54 872,7)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130 588,10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(75 715,40/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54 872,7)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522 685,49952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(310 928,74217/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211 756,75735)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расход электроэнергии на светофорные объекты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2021-2024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177,82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160,00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160,00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657,82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lang w:eastAsia="en-US"/>
              </w:rPr>
              <w:t>Разработка проекта организации дорожного движения автомобильные дороги общего пользования местного значения и провести мониторинг дорожного движения на дорогах Копейского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1.1.4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программы комплексного развития  транспортной инфраструктуры Копейского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объектов улично-дорожной сети,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2021-2024 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</w:t>
            </w:r>
            <w:r>
              <w:rPr>
                <w:color w:val="000000" w:themeColor="text1"/>
              </w:rPr>
              <w:t>/ 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131 426,59732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(105 570,14783/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(25 856,44949)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20 024,10000 (20 004,10000 / 20,10000)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19 648,00000 (19 628,00000/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20,00000)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19 850,00000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(19 830,00000/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20,00000)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190 948,69732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(101 284,01680/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(25 856,44949</w:t>
            </w:r>
            <w:r>
              <w:rPr>
                <w:color w:val="000000" w:themeColor="text1"/>
              </w:rPr>
              <w:t>)</w:t>
            </w:r>
          </w:p>
        </w:tc>
      </w:tr>
    </w:tbl>
    <w:p w:rsidR="00E448EE" w:rsidRDefault="00E448EE">
      <w:pPr>
        <w:sectPr w:rsidR="00E448EE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p w:rsidR="00E448EE" w:rsidRDefault="003E74E0">
      <w:pPr>
        <w:jc w:val="right"/>
        <w:rPr>
          <w:rFonts w:eastAsia="Times New Roman"/>
        </w:rPr>
        <w:sectPr w:rsidR="00E448EE"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  <w:r>
        <w:rPr>
          <w:rFonts w:eastAsia="Times New Roman"/>
        </w:rPr>
        <w:lastRenderedPageBreak/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1.2.1.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t>Приведение тротуаров в соответствие с нормативными требованиями к транспортно-эксплуатационному состоянию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2021 -2024 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8 351,22158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8 351,22158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E448EE" w:rsidRDefault="00E448EE">
      <w:pPr>
        <w:sectPr w:rsidR="00E448EE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69"/>
      </w:tblGrid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1.2.1.1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тротуара и велодорожки по ул. Пионерская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ind w:left="38" w:hanging="38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1.2.1.2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тротуара по пр. Победы от ул. Гольца до пер. Юннатов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ind w:left="38" w:hanging="38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1.2.1.3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тротуара по ул. Борьбы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2022 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</w:pPr>
            <w: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pStyle w:val="aff1"/>
              <w:keepLines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1.2.1.4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Ремонт тротуара по ул. Новосибирская от ул. Кемеровская до ул. Дундича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</w:pPr>
            <w: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</w:tbl>
    <w:p w:rsidR="00E448EE" w:rsidRDefault="00E448EE">
      <w:pPr>
        <w:keepLines/>
        <w:sectPr w:rsidR="00E448EE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69"/>
      </w:tblGrid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pStyle w:val="aff1"/>
              <w:keepLines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1.2.1.5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>Устройство тротуара по ул. Гастелло 1,12 км с обоих сторон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pStyle w:val="aff1"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1.2.1.6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тротуара по ул. Новосибирская от строения №11 до строения № 19 с обеих сторон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pStyle w:val="aff1"/>
              <w:keepLines/>
              <w:ind w:left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1.2.1.7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тротуара по ул. 21 Партсъезда 0,5 км с обеих сторон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1.1.5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</w:tbl>
    <w:p w:rsidR="00E448EE" w:rsidRDefault="00E448EE"/>
    <w:p w:rsidR="00E448EE" w:rsidRDefault="00E448EE"/>
    <w:p w:rsidR="00E448EE" w:rsidRDefault="00E448EE"/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3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69"/>
      </w:tblGrid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1.2.1.8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Ремонт пешеходного тротуара по ул. 19 </w:t>
            </w:r>
            <w:r>
              <w:rPr>
                <w:color w:val="000000" w:themeColor="text1"/>
              </w:rPr>
              <w:lastRenderedPageBreak/>
              <w:t>Партсъезда от ул. Чернышевского до автострады ул. Пестеля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  <w:r>
              <w:t>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1.2.1.9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пешеходного тротуара по ул. Электровозной и ул. Репина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1.2.1.10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пешеходного тротуара по ул. Черняховского (от почты до магазина «Стиль»)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1.2.1.11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Устройство пешеходного тротуара по ул. Театральная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ind w:left="38" w:hanging="38"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color w:val="000000" w:themeColor="text1"/>
              </w:rPr>
              <w:t>1.1.5.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Оборудование остановочных пунктов в соответствии с национальным стандартом РФ ГОСТ Р 52766-2007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390,93000 (0,00 /  390,93000)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20 024,10000 (20 004,00000 / 20,10000)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19 648,00000 (19 628,00000/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20,00000) 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19 850,00000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(19 830,00000/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20,00000) 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59 913,03000 (59 462,00000 / 451,03000)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Приведение пешеходных переходов в соответствии с требованием ГОСТ на</w:t>
            </w:r>
            <w:r>
              <w:rPr>
                <w:color w:val="000000" w:themeColor="text1"/>
              </w:rPr>
              <w:t xml:space="preserve"> территории Копейского городского округа, в том числе: 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2021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4 421,54640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(4 286,13103/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135,41537)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4 421,54640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(4 286,13103/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135,41537)</w:t>
            </w: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1.2.3.1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Обустройство пешеходных переходов, расположенных вблизи образовательных организаций, в соответствие </w:t>
            </w:r>
            <w:r>
              <w:rPr>
                <w:rFonts w:eastAsia="Times New Roman"/>
                <w:color w:val="000000"/>
                <w:spacing w:val="2"/>
              </w:rPr>
              <w:lastRenderedPageBreak/>
              <w:t>с национальным стандартом</w:t>
            </w:r>
          </w:p>
          <w:p w:rsidR="00E448EE" w:rsidRDefault="003E74E0">
            <w:pPr>
              <w:keepLines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pacing w:val="2"/>
              </w:rPr>
              <w:t xml:space="preserve"> РФ ГОСТ Р 52289-2004 (установка светофора Т7) по адресу: г.Копейск, на пересечении ул. Лихачева и у</w:t>
            </w:r>
            <w:r>
              <w:rPr>
                <w:rFonts w:eastAsia="Times New Roman"/>
                <w:color w:val="000000"/>
                <w:spacing w:val="2"/>
              </w:rPr>
              <w:t xml:space="preserve">л. Хмельницкого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</w:pPr>
            <w:r>
              <w:rPr>
                <w:color w:val="000000" w:themeColor="text1"/>
              </w:rPr>
              <w:lastRenderedPageBreak/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</w:t>
            </w:r>
            <w:r>
              <w:rPr>
                <w:color w:val="000000"/>
              </w:rPr>
              <w:t>2.4.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t xml:space="preserve">Оборудование светофорных объектов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40,88</w:t>
            </w:r>
          </w:p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40,88</w:t>
            </w:r>
          </w:p>
          <w:p w:rsidR="00E448EE" w:rsidRDefault="00E448EE">
            <w:pPr>
              <w:jc w:val="center"/>
              <w:rPr>
                <w:color w:val="000000"/>
              </w:rPr>
            </w:pPr>
          </w:p>
        </w:tc>
      </w:tr>
      <w:tr w:rsidR="00E448EE">
        <w:trPr>
          <w:trHeight w:val="66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1.2.5.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  <w:shd w:val="clear" w:color="auto" w:fill="FFFFFF"/>
              </w:rPr>
              <w:t>Выполнение работ по ремонту автомобильных дорог общего пользования местного значения Копейского городского округа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2021-2024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113 941,99831 (96 997,88577/ 16 944,11254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113 941,99831 (96 997,88577/ 16 944,11254</w:t>
            </w:r>
          </w:p>
        </w:tc>
      </w:tr>
      <w:tr w:rsidR="00E448EE">
        <w:trPr>
          <w:trHeight w:val="138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1.2.5.1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Ремонт автодороги ул. Мира —                       ул. Баженова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  ул. Линейная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1.2.5.3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от ул. Международная до пос. Горняк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jc w:val="center"/>
              <w:rPr>
                <w:rFonts w:eastAsia="Times New Roman"/>
              </w:rPr>
            </w:pPr>
          </w:p>
        </w:tc>
      </w:tr>
    </w:tbl>
    <w:p w:rsidR="00E448EE" w:rsidRDefault="00E448EE">
      <w:pPr>
        <w:sectPr w:rsidR="00E448EE">
          <w:type w:val="continuous"/>
          <w:pgSz w:w="16838" w:h="11906" w:orient="landscape"/>
          <w:pgMar w:top="1134" w:right="567" w:bottom="568" w:left="1701" w:header="709" w:footer="709" w:gutter="0"/>
          <w:cols w:space="720"/>
          <w:docGrid w:linePitch="360"/>
        </w:sect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1.2.5.4.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Федотьева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1.2.5.5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Кожевникова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2022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1.2.5.6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Ремонт автодороги по   ул. Луганская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1.2.5.7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  ул. Севастопольская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  ул. Ленина (центральная часть города)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1.2.5.9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от въезда в город до ул. 22 Партсъезда и пер. 22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1.2.5.10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  ул. Кадровик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1.2.5.11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автодороги по Петепроводу № 1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Путепроводу №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1.2.5.13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Учительская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trHeight w:val="138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1.2.5.14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Томилова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trHeight w:val="138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1.2.5.15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Майская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138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1.2.5.16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ул.Митрушенко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trHeight w:val="1387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1.2.5.17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Ремонт автодороги по   ул. Троицкая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16 Лет Октября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1.2.5.19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19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1.2.5.20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21 Партсъезда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Испанская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Комсомольская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1.2.5.23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Октябрьская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1.2.5.24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автодороги по ул. Кузнецова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1.2.5.25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Ремонт автодорог от ул. Школьная по ул. Горная в с. Калачево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1.2.5.26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ремонт автодороги - выезд на пос. Сухомесова (до ж/д переезда)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1.2.5.27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ремонт автодороги - проезд к ДК пос.Октябрьский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rFonts w:eastAsia="Times New Roman"/>
              </w:rPr>
            </w:pP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273"/>
        <w:gridCol w:w="132"/>
        <w:gridCol w:w="1570"/>
      </w:tblGrid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1.2.5.28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автодороги от трассы до кладбища пос.Потанино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lastRenderedPageBreak/>
              <w:t>1.2.5.29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автодороги от пос. РМЗ до ЧГРЭС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1.2.5.30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автодороги от пос. Октябрьский до Птицефабрики "Челябинская"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1.2.5.31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автодороги от трассы до пос. Заозерный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</w:pPr>
            <w:r>
              <w:t>1.2.5.32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ремонт автодороги от ж/д переезда пос. Горняк до а/д совхоз "Вперед"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ind w:left="38" w:hanging="38"/>
              <w:jc w:val="center"/>
            </w:pPr>
            <w:r>
              <w:rPr>
                <w:color w:val="000000" w:themeColor="text1"/>
              </w:rPr>
              <w:t>МУ «ГСЗ»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</w:pPr>
            <w:r>
              <w:rPr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448EE" w:rsidRDefault="00E448EE">
            <w:pPr>
              <w:keepLines/>
              <w:jc w:val="center"/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</w:pPr>
          </w:p>
        </w:tc>
      </w:tr>
      <w:tr w:rsidR="00E448EE">
        <w:trPr>
          <w:cantSplit/>
          <w:trHeight w:val="1387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keepLines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Строительство объектов улично-дорожной сети, в т.ч.: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t>МУ «УС»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2021 -2024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4 405,75300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4 405,75300)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77 844,20000 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(71 679,00000/ 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6 165,20000)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82 249,95300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(71 679,00000 /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10 570,95300)</w:t>
            </w: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\Продолжение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541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Разработка проектно-сметной документации (включая изыскания) по строительству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МУ «ГСЗ»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/>
              </w:rPr>
              <w:t>2021 -2024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E448EE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4 405,75300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4 405,75300)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4 540,00000 (2 040,00000 / 2 500,00000)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(0,0/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0,0)</w:t>
            </w:r>
          </w:p>
          <w:p w:rsidR="00E448EE" w:rsidRDefault="00E448EE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8 945,75300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(2 040,00000 /</w:t>
            </w:r>
          </w:p>
          <w:p w:rsidR="00E448EE" w:rsidRDefault="003E74E0">
            <w:pPr>
              <w:keepLines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6 445,75300)</w:t>
            </w:r>
          </w:p>
        </w:tc>
      </w:tr>
      <w:tr w:rsidR="00E448EE">
        <w:trPr>
          <w:trHeight w:val="541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проектно-сметной документации </w:t>
            </w:r>
            <w:r>
              <w:rPr>
                <w:rFonts w:eastAsia="Times New Roman"/>
              </w:rPr>
              <w:lastRenderedPageBreak/>
              <w:t>(включая изыскания) по объекту: Реконструкция перекрестка пр. Победы поворот на п. Железнодорожный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МУ «ГСЗ»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2 500,00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2 500,00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2.1.2.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 xml:space="preserve">Разработка проектно-изыскательских работ по строительству автомобильной дороги от ул. Менжинского до ул. Дундича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Всего (областной бюджет/ 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Разработка проектно-сметной документации (включая изыскания) по объекту: Строительство ул. Жданова от пр. Славы до ул. Гастелло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2.1.4.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Разработка проектно-сметной документации (включая изыскания) по объекту: Строительство ул. Кожевникова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2.1.5.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</w:pPr>
            <w:r>
              <w:rPr>
                <w:szCs w:val="20"/>
              </w:rPr>
              <w:t>Разработка проектно-сметной документации (включая изыскания) по объекту: Реконструкция проспекта Коммунистический, 2 этап (от пр. Победы до Ильича) г. Копейска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</w:t>
            </w:r>
            <w:r>
              <w:rPr>
                <w:color w:val="000000" w:themeColor="text1"/>
              </w:rPr>
              <w:t>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</w:pPr>
            <w:r>
              <w:lastRenderedPageBreak/>
              <w:t>2.1.6.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пр. Славы от пер. Свободы, 2 до пр. Победы, 1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2.1.7.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пр. Победы, от ФСК на ул. Борьбы до стадиона «Химик», 1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2 040,00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(2 040,00000/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2 040,00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(2 004,00000/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2.1.8.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Гольца от пр. Победы до ул. Жданова, 2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2.1.9.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ул. К. Маркса от ул. Жданова до пр. Славы , 2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2.1.10.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</w:t>
            </w:r>
            <w:r>
              <w:rPr>
                <w:szCs w:val="20"/>
              </w:rPr>
              <w:lastRenderedPageBreak/>
              <w:t>асфальтобетона по пр. Ильича от пр. Славы до ул. Борьбы, 2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lastRenderedPageBreak/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2.1.11.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Борьбы </w:t>
            </w:r>
            <w:r>
              <w:rPr>
                <w:szCs w:val="20"/>
              </w:rPr>
              <w:t xml:space="preserve">от пр. Ильича до ул. Кузнецова, 2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t>2.1.12.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пр. Коммунистический от пр. Ильича до ул. Калинина, 2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Кирова от ул. П. Томилова  до пр. Победы,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2.1.14.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пер. Свободы от пр. </w:t>
            </w:r>
            <w:r>
              <w:rPr>
                <w:szCs w:val="20"/>
              </w:rPr>
              <w:lastRenderedPageBreak/>
              <w:t xml:space="preserve">Коммунистического до пр. Славы,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lastRenderedPageBreak/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lastRenderedPageBreak/>
              <w:t>2.1.15.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Сутягина от пр. Победы до ул. Кузнецова, 2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2.1.16.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Кузнецова от ул. Сутягина до ул. Борьбы,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2.1.17.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пр. Коммунистический от пр. Победы до ул. Лихачева,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t>2.1.18.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Ленина от пр. Победы до пр. </w:t>
            </w:r>
            <w:r>
              <w:rPr>
                <w:szCs w:val="20"/>
              </w:rPr>
              <w:lastRenderedPageBreak/>
              <w:t xml:space="preserve">Калинина,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lastRenderedPageBreak/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2.1.19.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4 Пятилетки от пр. Победы до ул. Кожевникова,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2.1.20.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</w:t>
            </w:r>
            <w:r>
              <w:rPr>
                <w:szCs w:val="20"/>
              </w:rPr>
              <w:t xml:space="preserve">ул. Кожевникова от 4 Пятилетки до пр. Славы,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</w:tbl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E448EE">
      <w:pPr>
        <w:jc w:val="right"/>
        <w:rPr>
          <w:rFonts w:eastAsia="Times New Roman"/>
        </w:rPr>
      </w:pPr>
    </w:p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t>2.1.21.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пр. Славы от пер. Свободы до ул. Федячкина,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Калинина от ул. Федячкина до пр. Коммунистического, 2 </w:t>
            </w:r>
            <w:r>
              <w:rPr>
                <w:szCs w:val="20"/>
              </w:rPr>
              <w:lastRenderedPageBreak/>
              <w:t xml:space="preserve">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lastRenderedPageBreak/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2.1.23.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ул. Макаренко от ул. Гольца до ул. Хохрякова, 2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2.1.24.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ул. Хохрякова от ул. Волкова до пр. Победы,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</w:tbl>
    <w:p w:rsidR="00E448EE" w:rsidRDefault="00E448EE"/>
    <w:p w:rsidR="00E448EE" w:rsidRDefault="00E448EE"/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2.1.25.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в парке Победы от ул. Хохрякова до велодорожки,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2.1.26.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- жилого массива Потанино по ул. Борьбы от ул. Кузнецова до пер. Тореза, 2, 3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</w:t>
            </w:r>
            <w:r>
              <w:rPr>
                <w:color w:val="000000" w:themeColor="text1"/>
              </w:rPr>
              <w:t>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2.1.27.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- жилого массива Горняк по ул. Кузнецова от ул. Борьбы до ул. Елькина, 2, 3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keepLines/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keepLines/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2.1.28.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Жилому массиву Горняк от ул. Елькина</w:t>
            </w:r>
            <w:r>
              <w:rPr>
                <w:szCs w:val="20"/>
              </w:rPr>
              <w:t xml:space="preserve">, 2 до ул. Похвалина 3, 3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</w:tbl>
    <w:p w:rsidR="00E448EE" w:rsidRDefault="00E448EE"/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2.1.29.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Горняк от ул. Похвалина,3 до ул. Бестужева,5, 3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2.1.30.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Горняк от ул. Бестужева, 5 до жилого массива Вахрушево - ул. Буровиков, 6, 3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2.1.31.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Вахрушево - от ул. Буровиков, 6; до ул. 22 Партсъезда, 25, 3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- жилого массива Бажово; по ул. Кирова, 40 от ул. Мира, 1, 3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</w:tbl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Жилому массиву Бажово</w:t>
            </w:r>
            <w:r>
              <w:rPr>
                <w:szCs w:val="20"/>
              </w:rPr>
              <w:t xml:space="preserve">; от ул. Мир, 1 до ул. Баженова, 65, 3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2.1.34.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Жилому массиву Бажово; от ул. Баженова, 65 до ул. Федотьева, 1а, 3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2.1.35.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</w:t>
            </w:r>
            <w:r>
              <w:rPr>
                <w:szCs w:val="20"/>
              </w:rPr>
              <w:lastRenderedPageBreak/>
              <w:t>асфальтобетона по Жилому массиву Старокамышинск; от ул. Федотьева, 1 до жилого массива Октябрьский по ул. Северной до "</w:t>
            </w:r>
            <w:r>
              <w:rPr>
                <w:szCs w:val="20"/>
              </w:rPr>
              <w:t xml:space="preserve">Троицкого тракта", 3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lastRenderedPageBreak/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</w:tbl>
    <w:p w:rsidR="00E448EE" w:rsidRDefault="00E448EE"/>
    <w:p w:rsidR="00E448EE" w:rsidRDefault="00E448EE"/>
    <w:p w:rsidR="00E448EE" w:rsidRDefault="00E448EE"/>
    <w:p w:rsidR="00E448EE" w:rsidRDefault="00E448EE"/>
    <w:p w:rsidR="00E448EE" w:rsidRDefault="00E448EE"/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2.1.36.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Проектно-изыскательские работы по объекту: Строительство велосипедной дорожки с покрытием из асфальтобетона по Центру - от стадиона "Химик" по пр. Победы; до жилого массива Железнодорожный - ул. Электровозная, 1, 3 этап 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</w:t>
            </w:r>
            <w:r>
              <w:rPr>
                <w:color w:val="000000" w:themeColor="text1"/>
              </w:rPr>
              <w:t xml:space="preserve">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2.1.37.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Проектно-изыскательские работы по объекту: Строительство велосипедной дорожки с покрытием из асфальтобетона по Жилому массиву Железн</w:t>
            </w:r>
            <w:r>
              <w:rPr>
                <w:szCs w:val="20"/>
              </w:rPr>
              <w:t>одорожный; от ул. Электровозной, й до жилого массива Старокамышинск до ул. Федотьева, 3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rPr>
                <w:szCs w:val="20"/>
              </w:rPr>
            </w:pPr>
            <w:r>
              <w:rPr>
                <w:szCs w:val="20"/>
              </w:rPr>
              <w:t>Строительство велосипедной дорожки с покрытием из асфальтобетона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2023 -2024.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Строительство велосипедной дорожки с покрытием из асфальтобетона по пр. Славы от пер. Свободы, 2 до пр. Победы, 1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</w:tbl>
    <w:p w:rsidR="00E448EE" w:rsidRDefault="00E448EE"/>
    <w:p w:rsidR="00E448EE" w:rsidRDefault="00E448EE"/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Строительство велосипедной дорожки с покрытием из асфальтобетона по пр. Победы, от ФСК на ул. Борьбы до стадиона «Химик», 1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Гольца от пр. Победы до ул. Жданова, 2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2.2.4.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Строительство велосипедной дорожки с покрытием из асфальтобетона по ул. К. Маркса от ул. Жданова до пр. Славы , 2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2.2.5.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Строительство велосипедной дорожки с покрытием из асфальтобетона по пр. Ильича от пр. Славы до ул. Борьбы, 2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2.2.6.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Борьбы от пр. Ильича до ул. Кузнецова, 2 этап </w:t>
            </w:r>
          </w:p>
          <w:p w:rsidR="00E448EE" w:rsidRDefault="00E448EE">
            <w:pPr>
              <w:contextualSpacing/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2.2.7.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пр. Коммунистический от пр. Ильича до ул. Калинина, 2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</w:tbl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2.2.8.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Жданова от ул. Гольца до пр. Славы,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2.2.9.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Кирова от ул. П. Томилова до пр. Победы,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2.2.10.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Сутягина от пр. Победы до ул. Кузнецова, 2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Кузнецова от ул. Сутягина до ул. Борьбы,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пр. Коммунистический от пр. Победы до ул. Лихачева,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2.2.13.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Ленина от пр. Победы до пр. Калинина,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</w:tbl>
    <w:p w:rsidR="00E448EE" w:rsidRDefault="00E448EE"/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2.2.14.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4 Пятилетки от пр. Победы до ул. Кожевникова,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2.2.15.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Кожевникова от 4 Пятилетки до пр. Славы,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2.2.16.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пр. Славы  от пер. Свободы до ул. Федячкина,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2.2.17.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Калинина от ул. Федячкина до пр. Коммунистического, 2 этап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2.2.18.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Строительство велосипедной дорожки с покрытием из асфальтобетона по ул. Макаренко от ул. Гольца до ул. Хохрякова, 2 этап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2.2.19.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по ул. Хохрякова от ул. Волкова до пр. Победы,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</w:tbl>
    <w:p w:rsidR="00E448EE" w:rsidRDefault="00E448EE"/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Продолжение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2.2.20.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 xml:space="preserve">Строительство велосипедной дорожки с покрытием из асфальтобетона в парке Победы от ул. Хохрякова до велодорожки, 2 этап 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r>
              <w:rPr>
                <w:color w:val="000000" w:themeColor="text1"/>
              </w:rPr>
              <w:t>0,00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Реконструкция, строительство  автомобильных дорог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2022 -2024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73 304,20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(69 639,00/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3665,20)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  <w:p w:rsidR="00E448EE" w:rsidRDefault="00E448E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73 304,20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(69 639,00/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3665,20)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2.3.1.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троительство автомобильной дороги от ул. Малышева до                   МОУ СОШ № 16 в микрорайоне «Тугайкуль» (протяженность 1,4 км)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73 304,20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(69 639,00/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3665,20)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73 304,20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(69 639,00/</w:t>
            </w:r>
          </w:p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3665,20)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2.3.2.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Реконструкция проспекта Коммунистический, 1 этап (от пр. Победы до Ильича) г. Копейска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2.3.3.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Строительство ул. Жданова от пр. Славы до ул. Гастелло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2.3.4.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Строительство ул. Кожевникова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</w:tbl>
    <w:p w:rsidR="00E448EE" w:rsidRDefault="00E448EE"/>
    <w:p w:rsidR="00E448EE" w:rsidRDefault="003E74E0">
      <w:pPr>
        <w:jc w:val="right"/>
        <w:rPr>
          <w:rFonts w:eastAsia="Times New Roman"/>
        </w:rPr>
      </w:pPr>
      <w:r>
        <w:rPr>
          <w:rFonts w:eastAsia="Times New Roman"/>
        </w:rPr>
        <w:t>Окончание таблицы 3</w:t>
      </w:r>
    </w:p>
    <w:tbl>
      <w:tblPr>
        <w:tblW w:w="5418" w:type="pct"/>
        <w:tblInd w:w="-1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3248"/>
        <w:gridCol w:w="992"/>
        <w:gridCol w:w="833"/>
        <w:gridCol w:w="1576"/>
        <w:gridCol w:w="958"/>
        <w:gridCol w:w="1597"/>
        <w:gridCol w:w="1423"/>
        <w:gridCol w:w="1423"/>
        <w:gridCol w:w="1405"/>
        <w:gridCol w:w="1570"/>
      </w:tblGrid>
      <w:tr w:rsidR="00E448EE">
        <w:trPr>
          <w:trHeight w:val="883"/>
        </w:trPr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2.3.5.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</w:pPr>
            <w:r>
              <w:rPr>
                <w:szCs w:val="20"/>
              </w:rPr>
              <w:t>Реконструкция проспекта Коммунистический, 2 этап (от пр. Ильича до ул. Калинина) г. Копейска Челябинской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contextualSpacing/>
              <w:jc w:val="center"/>
            </w:pPr>
            <w:r>
              <w:t>МУ «УС»</w:t>
            </w:r>
          </w:p>
        </w:tc>
        <w:tc>
          <w:tcPr>
            <w:tcW w:w="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г.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Всего (областной бюджет/ 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местный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бюджет)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1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</w:pPr>
            <w:r>
              <w:rPr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jc w:val="center"/>
            </w:pPr>
            <w: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  <w:tc>
          <w:tcPr>
            <w:tcW w:w="1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</w:tcPr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(0,00/</w:t>
            </w:r>
          </w:p>
          <w:p w:rsidR="00E448EE" w:rsidRDefault="003E74E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0,00)</w:t>
            </w:r>
          </w:p>
        </w:tc>
      </w:tr>
    </w:tbl>
    <w:p w:rsidR="00E448EE" w:rsidRDefault="00E448EE">
      <w:pPr>
        <w:jc w:val="both"/>
        <w:rPr>
          <w:color w:val="000000"/>
          <w:sz w:val="28"/>
          <w:szCs w:val="28"/>
        </w:rPr>
        <w:sectPr w:rsidR="00E448EE">
          <w:type w:val="continuous"/>
          <w:pgSz w:w="16838" w:h="11906" w:orient="landscape"/>
          <w:pgMar w:top="1134" w:right="567" w:bottom="568" w:left="1701" w:header="709" w:footer="0" w:gutter="0"/>
          <w:cols w:space="720"/>
          <w:docGrid w:linePitch="360"/>
        </w:sectPr>
      </w:pPr>
    </w:p>
    <w:p w:rsidR="00E448EE" w:rsidRDefault="003E74E0">
      <w:pPr>
        <w:ind w:left="-851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Раздел IV. Организация управления и механизм реализации</w:t>
      </w:r>
    </w:p>
    <w:p w:rsidR="00E448EE" w:rsidRDefault="003E74E0">
      <w:pPr>
        <w:ind w:left="-851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муниципальной программы</w:t>
      </w:r>
    </w:p>
    <w:p w:rsidR="00E448EE" w:rsidRDefault="00E448EE">
      <w:pPr>
        <w:ind w:left="-851"/>
        <w:jc w:val="center"/>
        <w:rPr>
          <w:color w:val="000000"/>
          <w:sz w:val="28"/>
          <w:szCs w:val="28"/>
        </w:rPr>
      </w:pPr>
    </w:p>
    <w:p w:rsidR="00E448EE" w:rsidRDefault="003E74E0">
      <w:pPr>
        <w:pStyle w:val="aff1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Управление реализацией муниципальной программы осуществляет ответственный исполнитель муниципальной программы – УГХ. УГХ в рамках обеспечения текущего управления муниципальной программой и оперативного контроля над ее реализацией осуществляет: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уточнение</w:t>
      </w:r>
      <w:r>
        <w:rPr>
          <w:color w:val="000000" w:themeColor="text1"/>
          <w:sz w:val="28"/>
          <w:szCs w:val="28"/>
        </w:rPr>
        <w:t xml:space="preserve"> с учетом выделенных на реализацию муниципальной  программы финансовых средств мероприятий, целевых индикативных показателей, ожидаемых результатов мероприятий муниципальной программы;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определение механизма корректировки программных мероприятий и их ресу</w:t>
      </w:r>
      <w:r>
        <w:rPr>
          <w:color w:val="000000" w:themeColor="text1"/>
          <w:sz w:val="28"/>
          <w:szCs w:val="28"/>
        </w:rPr>
        <w:t>рсное обеспечение в ходе реализации муниципальной программы;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внесение изменений в муниципальную программу в соответствии с постановлением администрации округа от 22.07.2020 № 1613-п                                «Об утверждении Порядка принятия решений </w:t>
      </w:r>
      <w:r>
        <w:rPr>
          <w:color w:val="000000" w:themeColor="text1"/>
          <w:sz w:val="28"/>
          <w:szCs w:val="28"/>
        </w:rPr>
        <w:t>о разработке, формировании и реализации муниципальных программ,  а также Порядка проведения оценки эффективности реализации  муниципальных программ Копейского городского округа».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11. Отбор организаций - исполнителей муниципальной программы осуществляется в</w:t>
      </w:r>
      <w:r>
        <w:rPr>
          <w:color w:val="000000" w:themeColor="text1"/>
          <w:sz w:val="28"/>
          <w:szCs w:val="28"/>
        </w:rPr>
        <w:t xml:space="preserve"> соответствии с законодательством Российской Федерации.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по строительству, реконструкции, капитальному ремонту, ремонту и содержанию автомобильных дорог общего пользования местного  значения осуществляется </w:t>
      </w:r>
      <w:r>
        <w:rPr>
          <w:color w:val="000000" w:themeColor="text1"/>
          <w:sz w:val="28"/>
          <w:szCs w:val="28"/>
        </w:rPr>
        <w:t>в соответствии с перечнем объектов автомобильных дорог общего пользования. Реализация мероприятий, предусмотренных муниципальной программой, осуществляется в соответствии с законодательством Российской Федерации о размещении заказов на поставки товаров, вы</w:t>
      </w:r>
      <w:r>
        <w:rPr>
          <w:color w:val="000000" w:themeColor="text1"/>
          <w:sz w:val="28"/>
          <w:szCs w:val="28"/>
        </w:rPr>
        <w:t xml:space="preserve">полнение работ, оказание услуг для муниципальных нужд.   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12. Соисполнители муниципальной программы - МУ «ГСЗ», готовит проектно-сметную документацию, при необходимости проходит процедуру Экспертизы проектно-сметной документации, готовит аукционную докумен</w:t>
      </w:r>
      <w:r>
        <w:rPr>
          <w:color w:val="000000" w:themeColor="text1"/>
          <w:sz w:val="28"/>
          <w:szCs w:val="28"/>
        </w:rPr>
        <w:t>тацию на проектирование и выполнение строительно-монтажных работ.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13. Функции муниципального заказчика при выполнении мероприятий муниципальной программы осуществляет соисполнитель муниципальной программы: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заключает договоры (контракты) на выполнение раб</w:t>
      </w:r>
      <w:r>
        <w:rPr>
          <w:color w:val="000000" w:themeColor="text1"/>
          <w:sz w:val="28"/>
          <w:szCs w:val="28"/>
        </w:rPr>
        <w:t>от, необходимых для реализации мероприятий муниципальной программы;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организует технический надзор, проведение лабораторных исследований за качеством проведенных работ, применяемых материалов;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 осуществляет приемку выполненных работ.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Указанный механизм п</w:t>
      </w:r>
      <w:r>
        <w:rPr>
          <w:color w:val="000000" w:themeColor="text1"/>
          <w:sz w:val="28"/>
          <w:szCs w:val="28"/>
        </w:rPr>
        <w:t>озволит осуществлять мониторинг и реализовать поставленные муниципальной программой задачи в полном объёме.</w:t>
      </w:r>
    </w:p>
    <w:p w:rsidR="00E448EE" w:rsidRDefault="003E74E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V. Ожидаемые результаты реализации муниципальной программы</w:t>
      </w:r>
    </w:p>
    <w:p w:rsidR="00E448EE" w:rsidRDefault="003E74E0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и их обоснование</w:t>
      </w:r>
    </w:p>
    <w:p w:rsidR="00E448EE" w:rsidRDefault="00E448EE">
      <w:pPr>
        <w:ind w:firstLine="709"/>
        <w:jc w:val="center"/>
        <w:rPr>
          <w:color w:val="000000"/>
          <w:sz w:val="28"/>
          <w:szCs w:val="28"/>
        </w:rPr>
      </w:pP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14. Информация о значениях целевых показателей (индикаторов) гос</w:t>
      </w:r>
      <w:r>
        <w:rPr>
          <w:color w:val="000000" w:themeColor="text1"/>
          <w:sz w:val="28"/>
          <w:szCs w:val="28"/>
        </w:rPr>
        <w:t xml:space="preserve">ударственной программы приведена </w:t>
      </w:r>
      <w:r>
        <w:rPr>
          <w:sz w:val="28"/>
          <w:szCs w:val="28"/>
        </w:rPr>
        <w:t>в таблице 4.</w:t>
      </w:r>
    </w:p>
    <w:p w:rsidR="00E448EE" w:rsidRDefault="00E448EE">
      <w:pPr>
        <w:ind w:left="-567" w:firstLine="567"/>
        <w:jc w:val="both"/>
        <w:rPr>
          <w:color w:val="000000"/>
          <w:sz w:val="28"/>
          <w:szCs w:val="28"/>
        </w:rPr>
      </w:pPr>
    </w:p>
    <w:p w:rsidR="00E448EE" w:rsidRDefault="003E74E0">
      <w:pPr>
        <w:ind w:left="-851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448EE" w:rsidRDefault="003E74E0">
      <w:pPr>
        <w:tabs>
          <w:tab w:val="left" w:pos="10080"/>
        </w:tabs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E448EE" w:rsidRDefault="00E448EE">
      <w:pPr>
        <w:tabs>
          <w:tab w:val="left" w:pos="10080"/>
        </w:tabs>
        <w:ind w:firstLine="709"/>
        <w:jc w:val="center"/>
        <w:rPr>
          <w:bCs/>
          <w:color w:val="000000"/>
          <w:sz w:val="28"/>
          <w:szCs w:val="28"/>
        </w:rPr>
      </w:pPr>
    </w:p>
    <w:p w:rsidR="00E448EE" w:rsidRDefault="003E74E0">
      <w:pPr>
        <w:tabs>
          <w:tab w:val="left" w:pos="7230"/>
        </w:tabs>
        <w:ind w:firstLine="709"/>
        <w:jc w:val="right"/>
      </w:pPr>
      <w:r>
        <w:t>Таблица 4</w:t>
      </w:r>
    </w:p>
    <w:tbl>
      <w:tblPr>
        <w:tblW w:w="5253" w:type="pc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65"/>
        <w:gridCol w:w="3629"/>
        <w:gridCol w:w="710"/>
        <w:gridCol w:w="849"/>
        <w:gridCol w:w="1134"/>
        <w:gridCol w:w="850"/>
        <w:gridCol w:w="709"/>
        <w:gridCol w:w="850"/>
        <w:gridCol w:w="851"/>
      </w:tblGrid>
      <w:tr w:rsidR="00E448EE">
        <w:trPr>
          <w:trHeight w:val="393"/>
        </w:trPr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№</w:t>
            </w:r>
          </w:p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36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Наименование целевых индикативных показателей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5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Значение целевого показателя</w:t>
            </w:r>
          </w:p>
        </w:tc>
      </w:tr>
      <w:tr w:rsidR="00E448EE">
        <w:trPr>
          <w:trHeight w:val="433"/>
        </w:trPr>
        <w:tc>
          <w:tcPr>
            <w:tcW w:w="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tabs>
                <w:tab w:val="left" w:pos="7230"/>
              </w:tabs>
              <w:ind w:firstLine="720"/>
              <w:jc w:val="center"/>
              <w:rPr>
                <w:color w:val="000000"/>
              </w:rPr>
            </w:pPr>
          </w:p>
        </w:tc>
        <w:tc>
          <w:tcPr>
            <w:tcW w:w="36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tabs>
                <w:tab w:val="left" w:pos="7230"/>
              </w:tabs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E448EE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итого</w:t>
            </w:r>
          </w:p>
        </w:tc>
      </w:tr>
      <w:tr w:rsidR="00E448EE">
        <w:trPr>
          <w:trHeight w:val="232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5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Цель: обеспечение безопасного сообщения по автомобильным дорогам общего пользования местного значения и совершенствование улично-дорожной сети округа</w:t>
            </w:r>
          </w:p>
        </w:tc>
      </w:tr>
      <w:tr w:rsidR="00E448EE">
        <w:trPr>
          <w:trHeight w:val="232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95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tabs>
                <w:tab w:val="left" w:pos="7230"/>
              </w:tabs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Задача: обеспечение сохранности автомобильных дорог местного значения, дорожных сооружений и поддержание их состояния в соответствии с требованиями, допустимыми по условиям обеспечения безопасного дорожного движения</w:t>
            </w:r>
          </w:p>
        </w:tc>
      </w:tr>
      <w:tr w:rsidR="00E448EE">
        <w:trPr>
          <w:trHeight w:val="361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1.1.1.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r>
              <w:t>Общая протяженность автомобильны</w:t>
            </w:r>
            <w:r>
              <w:t>х дорог общего пользования местного значения с твердым покрытием, отремонтированная за год и соответствующая нормативным требованиям  транспортно-эксплуатационным  показателям, по состоянию на 31 декабря отчетного года, километры*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13,01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13,28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10,70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8,30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9,60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41,88</w:t>
            </w:r>
          </w:p>
        </w:tc>
      </w:tr>
      <w:tr w:rsidR="00E448EE">
        <w:trPr>
          <w:trHeight w:val="253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1.1.2.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r>
              <w:t>Протяженность отремонтированных грунтовых  автомобильных дорог общего пользования местного значения, соответствующая нормативным требованиям к транспортно-эксплуатационным показателям, по состоянию на 31 декабря отчетного года, километры*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15,98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63,98</w:t>
            </w:r>
          </w:p>
        </w:tc>
      </w:tr>
    </w:tbl>
    <w:p w:rsidR="00E448EE" w:rsidRDefault="00E448EE">
      <w:pPr>
        <w:jc w:val="right"/>
      </w:pPr>
    </w:p>
    <w:p w:rsidR="00E448EE" w:rsidRDefault="00E448EE">
      <w:pPr>
        <w:jc w:val="right"/>
      </w:pPr>
    </w:p>
    <w:p w:rsidR="00E448EE" w:rsidRDefault="00E448EE">
      <w:pPr>
        <w:jc w:val="right"/>
      </w:pPr>
    </w:p>
    <w:p w:rsidR="00E448EE" w:rsidRDefault="003E74E0">
      <w:pPr>
        <w:jc w:val="right"/>
      </w:pPr>
      <w:r>
        <w:t>Окончание таблицы 4</w:t>
      </w:r>
    </w:p>
    <w:tbl>
      <w:tblPr>
        <w:tblW w:w="5253" w:type="pct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778"/>
        <w:gridCol w:w="3616"/>
        <w:gridCol w:w="710"/>
        <w:gridCol w:w="943"/>
        <w:gridCol w:w="1040"/>
        <w:gridCol w:w="710"/>
        <w:gridCol w:w="709"/>
        <w:gridCol w:w="708"/>
        <w:gridCol w:w="1133"/>
      </w:tblGrid>
      <w:tr w:rsidR="00E448EE">
        <w:trPr>
          <w:trHeight w:val="804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1.1.3.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общая протяженность автомобильных дорог общего пользования местного значения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км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441,7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441,7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455,2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455,2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455,2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455,2</w:t>
            </w:r>
          </w:p>
        </w:tc>
      </w:tr>
      <w:tr w:rsidR="00E448EE">
        <w:trPr>
          <w:trHeight w:val="804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color w:val="000000"/>
              </w:rPr>
            </w:pPr>
            <w:r>
              <w:rPr>
                <w:color w:val="000000" w:themeColor="text1"/>
              </w:rPr>
              <w:t>1.1.4.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Количество полученных положительных заключений </w:t>
            </w:r>
            <w:r>
              <w:rPr>
                <w:color w:val="000000" w:themeColor="text1"/>
              </w:rPr>
              <w:lastRenderedPageBreak/>
              <w:t>государственной экспертизы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шт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E448EE">
        <w:trPr>
          <w:trHeight w:val="1717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1.1.5.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r>
              <w:t xml:space="preserve">Площадь приведенных тротуаров в соответствие с нормативными требованиями к транспортно -эксплуатационному состоянию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tabs>
                <w:tab w:val="left" w:pos="7230"/>
              </w:tabs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AFAFA"/>
              </w:rPr>
              <w:t>м</w:t>
            </w:r>
            <w:r>
              <w:rPr>
                <w:color w:val="000000"/>
                <w:shd w:val="clear" w:color="auto" w:fill="FAFAFA"/>
                <w:vertAlign w:val="superscript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2818,8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8818,8</w:t>
            </w:r>
          </w:p>
        </w:tc>
      </w:tr>
      <w:tr w:rsidR="00E448EE">
        <w:trPr>
          <w:trHeight w:val="1717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1.1.6.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448EE" w:rsidRDefault="003E74E0">
            <w:r>
              <w:t>Количество пешеходных переходов обустроенных в соответствие с национальными стандартами на территории Копейского городского округа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t>шт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37</w:t>
            </w:r>
          </w:p>
        </w:tc>
      </w:tr>
      <w:tr w:rsidR="00E448EE">
        <w:trPr>
          <w:trHeight w:val="1717"/>
        </w:trPr>
        <w:tc>
          <w:tcPr>
            <w:tcW w:w="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1.1.7.</w:t>
            </w:r>
          </w:p>
        </w:tc>
        <w:tc>
          <w:tcPr>
            <w:tcW w:w="3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48EE" w:rsidRDefault="003E74E0">
            <w:r>
              <w:t xml:space="preserve">Количество </w:t>
            </w:r>
            <w:r>
              <w:rPr>
                <w:color w:val="000000"/>
                <w:spacing w:val="2"/>
              </w:rPr>
              <w:t xml:space="preserve">остановочных пунктов, разворотных площадок оборудованных в соответствии с национальным стандартом РФ ГОСТ Р 52766-2007 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jc w:val="center"/>
            </w:pPr>
            <w:r>
              <w:t>ед.</w:t>
            </w:r>
          </w:p>
        </w:tc>
        <w:tc>
          <w:tcPr>
            <w:tcW w:w="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vAlign w:val="center"/>
          </w:tcPr>
          <w:p w:rsidR="00E448EE" w:rsidRDefault="003E74E0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78</w:t>
            </w:r>
          </w:p>
        </w:tc>
      </w:tr>
    </w:tbl>
    <w:p w:rsidR="00E448EE" w:rsidRDefault="00E448EE">
      <w:pPr>
        <w:ind w:firstLine="709"/>
        <w:jc w:val="right"/>
        <w:rPr>
          <w:color w:val="000000"/>
          <w:sz w:val="28"/>
          <w:szCs w:val="28"/>
        </w:rPr>
      </w:pPr>
    </w:p>
    <w:p w:rsidR="00E448EE" w:rsidRDefault="003E74E0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Раздел VI. Финансово-экономическое обоснование</w:t>
      </w:r>
    </w:p>
    <w:p w:rsidR="00E448EE" w:rsidRDefault="003E74E0"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муниципальной программы</w:t>
      </w:r>
    </w:p>
    <w:p w:rsidR="00E448EE" w:rsidRDefault="00E448EE">
      <w:pPr>
        <w:jc w:val="center"/>
        <w:rPr>
          <w:color w:val="000000"/>
          <w:sz w:val="28"/>
          <w:szCs w:val="28"/>
        </w:rPr>
      </w:pP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15.  Необходимые объемы финансирования мероприятий муниципальной программы определены в соответствии с проектной (сметной) документацией и с учетом рыночной стоимости объектов.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на финансирование мероприятий муниципальной программы определены в цена</w:t>
      </w:r>
      <w:r>
        <w:rPr>
          <w:color w:val="000000" w:themeColor="text1"/>
          <w:sz w:val="28"/>
          <w:szCs w:val="28"/>
        </w:rPr>
        <w:t>х соответствующих лет с использованием прогнозных индексов-дефляторов и подлежат уточнению по мере реализации программных мероприятий.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Источники финансового обеспечения: областной бюджет - Закон Челябинской области «Об областном бюджете»; местный бюджет - </w:t>
      </w:r>
      <w:r>
        <w:rPr>
          <w:color w:val="000000" w:themeColor="text1"/>
          <w:sz w:val="28"/>
          <w:szCs w:val="28"/>
        </w:rPr>
        <w:t>решение Собрания депутатов округа «О бюджете Копейского городского округа».</w:t>
      </w:r>
    </w:p>
    <w:p w:rsidR="00E448EE" w:rsidRDefault="003E74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Объемы финансирования мероприятий муниципальной программы приведены в таблице 2 настоящей муниципальной программы. </w:t>
      </w:r>
    </w:p>
    <w:p w:rsidR="00E448EE" w:rsidRDefault="00E448EE">
      <w:pPr>
        <w:jc w:val="both"/>
        <w:rPr>
          <w:color w:val="000000"/>
          <w:sz w:val="28"/>
          <w:szCs w:val="28"/>
        </w:rPr>
      </w:pPr>
    </w:p>
    <w:p w:rsidR="00E448EE" w:rsidRDefault="00E448EE">
      <w:pPr>
        <w:jc w:val="both"/>
        <w:rPr>
          <w:color w:val="000000"/>
          <w:sz w:val="28"/>
          <w:szCs w:val="28"/>
        </w:rPr>
      </w:pPr>
    </w:p>
    <w:p w:rsidR="00E448EE" w:rsidRDefault="003E74E0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городского округа</w:t>
      </w:r>
    </w:p>
    <w:p w:rsidR="00E448EE" w:rsidRDefault="003E74E0">
      <w:pPr>
        <w:jc w:val="both"/>
        <w:rPr>
          <w:color w:val="000000"/>
          <w:sz w:val="28"/>
          <w:szCs w:val="28"/>
        </w:rPr>
        <w:sectPr w:rsidR="00E448EE">
          <w:headerReference w:type="default" r:id="rId14"/>
          <w:headerReference w:type="first" r:id="rId15"/>
          <w:pgSz w:w="11906" w:h="16838"/>
          <w:pgMar w:top="1134" w:right="567" w:bottom="992" w:left="1701" w:header="709" w:footer="0" w:gutter="0"/>
          <w:cols w:space="720"/>
          <w:titlePg/>
          <w:docGrid w:linePitch="360"/>
        </w:sectPr>
      </w:pPr>
      <w:r>
        <w:rPr>
          <w:color w:val="000000" w:themeColor="text1"/>
          <w:sz w:val="28"/>
          <w:szCs w:val="28"/>
        </w:rPr>
        <w:t>по жилищно-коммунальным вопросам                                                  И.В. Фролов</w:t>
      </w:r>
    </w:p>
    <w:p w:rsidR="00E448EE" w:rsidRDefault="00E448EE"/>
    <w:sectPr w:rsidR="00E448EE">
      <w:headerReference w:type="default" r:id="rId16"/>
      <w:pgSz w:w="11906" w:h="16838"/>
      <w:pgMar w:top="1701" w:right="1134" w:bottom="567" w:left="56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EE" w:rsidRDefault="003E74E0">
      <w:r>
        <w:separator/>
      </w:r>
    </w:p>
  </w:endnote>
  <w:endnote w:type="continuationSeparator" w:id="0">
    <w:p w:rsidR="00E448EE" w:rsidRDefault="003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E" w:rsidRDefault="00E448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EE" w:rsidRDefault="003E74E0">
      <w:r>
        <w:separator/>
      </w:r>
    </w:p>
  </w:footnote>
  <w:footnote w:type="continuationSeparator" w:id="0">
    <w:p w:rsidR="00E448EE" w:rsidRDefault="003E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459945"/>
      <w:docPartObj>
        <w:docPartGallery w:val="Page Numbers (Top of Page)"/>
        <w:docPartUnique/>
      </w:docPartObj>
    </w:sdtPr>
    <w:sdtEndPr/>
    <w:sdtContent>
      <w:p w:rsidR="00E448EE" w:rsidRDefault="003E74E0">
        <w:pPr>
          <w:pStyle w:val="aa"/>
          <w:jc w:val="center"/>
          <w:rPr>
            <w:rFonts w:eastAsia="Times New Roman"/>
          </w:rPr>
        </w:pPr>
        <w:r>
          <w:fldChar w:fldCharType="begin"/>
        </w:r>
        <w:r>
          <w:instrText>PAGE</w:instrText>
        </w:r>
        <w:r>
          <w:rPr>
            <w:rFonts w:eastAsia="Times New Roman"/>
          </w:rPr>
          <w:fldChar w:fldCharType="separate"/>
        </w:r>
        <w:r>
          <w:rPr>
            <w:noProof/>
          </w:rPr>
          <w:t>6</w:t>
        </w:r>
        <w:r>
          <w:rPr>
            <w:rFonts w:eastAsia="Times New Roman"/>
          </w:rPr>
          <w:fldChar w:fldCharType="end"/>
        </w:r>
      </w:p>
      <w:p w:rsidR="00E448EE" w:rsidRDefault="003E74E0">
        <w:pPr>
          <w:pStyle w:val="aa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EE" w:rsidRDefault="00E448EE">
    <w:pPr>
      <w:pStyle w:val="aa"/>
      <w:jc w:val="center"/>
    </w:pPr>
  </w:p>
  <w:p w:rsidR="00E448EE" w:rsidRDefault="00E448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79198"/>
      <w:docPartObj>
        <w:docPartGallery w:val="Page Numbers (Top of Page)"/>
        <w:docPartUnique/>
      </w:docPartObj>
    </w:sdtPr>
    <w:sdtEndPr/>
    <w:sdtContent>
      <w:p w:rsidR="00E448EE" w:rsidRDefault="003E74E0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  <w:p w:rsidR="00E448EE" w:rsidRDefault="003E74E0">
        <w:pPr>
          <w:pStyle w:val="aa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335947"/>
      <w:docPartObj>
        <w:docPartGallery w:val="Page Numbers (Top of Page)"/>
        <w:docPartUnique/>
      </w:docPartObj>
    </w:sdtPr>
    <w:sdtEndPr/>
    <w:sdtContent>
      <w:p w:rsidR="00E448EE" w:rsidRDefault="003E74E0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  <w:p w:rsidR="00E448EE" w:rsidRDefault="003E74E0">
        <w:pPr>
          <w:pStyle w:val="aa"/>
          <w:jc w:val="center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650661"/>
      <w:docPartObj>
        <w:docPartGallery w:val="Page Numbers (Top of Page)"/>
        <w:docPartUnique/>
      </w:docPartObj>
    </w:sdtPr>
    <w:sdtEndPr/>
    <w:sdtContent>
      <w:p w:rsidR="00E448EE" w:rsidRDefault="003E74E0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  <w:p w:rsidR="00E448EE" w:rsidRDefault="003E74E0">
        <w:pPr>
          <w:pStyle w:val="aa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9000934"/>
      <w:docPartObj>
        <w:docPartGallery w:val="Page Numbers (Top of Page)"/>
        <w:docPartUnique/>
      </w:docPartObj>
    </w:sdtPr>
    <w:sdtEndPr/>
    <w:sdtContent>
      <w:p w:rsidR="00E448EE" w:rsidRDefault="003E74E0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  <w:p w:rsidR="00E448EE" w:rsidRDefault="003E74E0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7738"/>
    <w:multiLevelType w:val="hybridMultilevel"/>
    <w:tmpl w:val="0540C5CA"/>
    <w:lvl w:ilvl="0" w:tplc="7D5A421E">
      <w:start w:val="1"/>
      <w:numFmt w:val="none"/>
      <w:suff w:val="nothing"/>
      <w:lvlText w:val=""/>
      <w:lvlJc w:val="left"/>
      <w:pPr>
        <w:ind w:left="0" w:firstLine="0"/>
      </w:pPr>
    </w:lvl>
    <w:lvl w:ilvl="1" w:tplc="C30C154A">
      <w:start w:val="1"/>
      <w:numFmt w:val="none"/>
      <w:suff w:val="nothing"/>
      <w:lvlText w:val=""/>
      <w:lvlJc w:val="left"/>
      <w:pPr>
        <w:ind w:left="0" w:firstLine="0"/>
      </w:pPr>
    </w:lvl>
    <w:lvl w:ilvl="2" w:tplc="F6A6CA62">
      <w:start w:val="1"/>
      <w:numFmt w:val="none"/>
      <w:suff w:val="nothing"/>
      <w:lvlText w:val=""/>
      <w:lvlJc w:val="left"/>
      <w:pPr>
        <w:ind w:left="0" w:firstLine="0"/>
      </w:pPr>
    </w:lvl>
    <w:lvl w:ilvl="3" w:tplc="983E2002">
      <w:start w:val="1"/>
      <w:numFmt w:val="none"/>
      <w:suff w:val="nothing"/>
      <w:lvlText w:val=""/>
      <w:lvlJc w:val="left"/>
      <w:pPr>
        <w:ind w:left="0" w:firstLine="0"/>
      </w:pPr>
    </w:lvl>
    <w:lvl w:ilvl="4" w:tplc="361E9C7A">
      <w:start w:val="1"/>
      <w:numFmt w:val="none"/>
      <w:suff w:val="nothing"/>
      <w:lvlText w:val=""/>
      <w:lvlJc w:val="left"/>
      <w:pPr>
        <w:ind w:left="0" w:firstLine="0"/>
      </w:pPr>
    </w:lvl>
    <w:lvl w:ilvl="5" w:tplc="9BC41A2C">
      <w:start w:val="1"/>
      <w:numFmt w:val="none"/>
      <w:suff w:val="nothing"/>
      <w:lvlText w:val=""/>
      <w:lvlJc w:val="left"/>
      <w:pPr>
        <w:ind w:left="0" w:firstLine="0"/>
      </w:pPr>
    </w:lvl>
    <w:lvl w:ilvl="6" w:tplc="5F9E8FFC">
      <w:start w:val="1"/>
      <w:numFmt w:val="none"/>
      <w:suff w:val="nothing"/>
      <w:lvlText w:val=""/>
      <w:lvlJc w:val="left"/>
      <w:pPr>
        <w:ind w:left="0" w:firstLine="0"/>
      </w:pPr>
    </w:lvl>
    <w:lvl w:ilvl="7" w:tplc="3E28FD4E">
      <w:start w:val="1"/>
      <w:numFmt w:val="none"/>
      <w:suff w:val="nothing"/>
      <w:lvlText w:val=""/>
      <w:lvlJc w:val="left"/>
      <w:pPr>
        <w:ind w:left="0" w:firstLine="0"/>
      </w:pPr>
    </w:lvl>
    <w:lvl w:ilvl="8" w:tplc="2048EEE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7A1DDE"/>
    <w:multiLevelType w:val="hybridMultilevel"/>
    <w:tmpl w:val="01683D2A"/>
    <w:lvl w:ilvl="0" w:tplc="03C29C68">
      <w:start w:val="1"/>
      <w:numFmt w:val="bullet"/>
      <w:lvlText w:val="-"/>
      <w:lvlJc w:val="left"/>
      <w:pPr>
        <w:ind w:left="1429" w:hanging="360"/>
      </w:pPr>
      <w:rPr>
        <w:rFonts w:ascii="Symbol" w:hAnsi="Symbol" w:cs="Symbol" w:hint="default"/>
      </w:rPr>
    </w:lvl>
    <w:lvl w:ilvl="1" w:tplc="AF802D4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2E368E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56100D00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4FAA3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405CE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EED26D04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9E0469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B28006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D133D62"/>
    <w:multiLevelType w:val="hybridMultilevel"/>
    <w:tmpl w:val="57D86892"/>
    <w:lvl w:ilvl="0" w:tplc="4816F7F8">
      <w:start w:val="6"/>
      <w:numFmt w:val="decimal"/>
      <w:lvlText w:val="%1."/>
      <w:lvlJc w:val="left"/>
      <w:pPr>
        <w:ind w:left="928" w:hanging="360"/>
      </w:pPr>
    </w:lvl>
    <w:lvl w:ilvl="1" w:tplc="80246790">
      <w:start w:val="1"/>
      <w:numFmt w:val="lowerLetter"/>
      <w:lvlText w:val="%2."/>
      <w:lvlJc w:val="left"/>
      <w:pPr>
        <w:ind w:left="1648" w:hanging="360"/>
      </w:pPr>
    </w:lvl>
    <w:lvl w:ilvl="2" w:tplc="73808496">
      <w:start w:val="1"/>
      <w:numFmt w:val="lowerRoman"/>
      <w:lvlText w:val="%3."/>
      <w:lvlJc w:val="right"/>
      <w:pPr>
        <w:ind w:left="2368" w:hanging="180"/>
      </w:pPr>
    </w:lvl>
    <w:lvl w:ilvl="3" w:tplc="DE3AD852">
      <w:start w:val="1"/>
      <w:numFmt w:val="decimal"/>
      <w:lvlText w:val="%4."/>
      <w:lvlJc w:val="left"/>
      <w:pPr>
        <w:ind w:left="3088" w:hanging="360"/>
      </w:pPr>
    </w:lvl>
    <w:lvl w:ilvl="4" w:tplc="74EC00D6">
      <w:start w:val="1"/>
      <w:numFmt w:val="lowerLetter"/>
      <w:lvlText w:val="%5."/>
      <w:lvlJc w:val="left"/>
      <w:pPr>
        <w:ind w:left="3808" w:hanging="360"/>
      </w:pPr>
    </w:lvl>
    <w:lvl w:ilvl="5" w:tplc="52BA3942">
      <w:start w:val="1"/>
      <w:numFmt w:val="lowerRoman"/>
      <w:lvlText w:val="%6."/>
      <w:lvlJc w:val="right"/>
      <w:pPr>
        <w:ind w:left="4528" w:hanging="180"/>
      </w:pPr>
    </w:lvl>
    <w:lvl w:ilvl="6" w:tplc="EE9C699C">
      <w:start w:val="1"/>
      <w:numFmt w:val="decimal"/>
      <w:lvlText w:val="%7."/>
      <w:lvlJc w:val="left"/>
      <w:pPr>
        <w:ind w:left="5248" w:hanging="360"/>
      </w:pPr>
    </w:lvl>
    <w:lvl w:ilvl="7" w:tplc="E966A276">
      <w:start w:val="1"/>
      <w:numFmt w:val="lowerLetter"/>
      <w:lvlText w:val="%8."/>
      <w:lvlJc w:val="left"/>
      <w:pPr>
        <w:ind w:left="5968" w:hanging="360"/>
      </w:pPr>
    </w:lvl>
    <w:lvl w:ilvl="8" w:tplc="08889F7A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90766A"/>
    <w:multiLevelType w:val="hybridMultilevel"/>
    <w:tmpl w:val="11E26622"/>
    <w:lvl w:ilvl="0" w:tplc="AC802FC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</w:rPr>
    </w:lvl>
    <w:lvl w:ilvl="1" w:tplc="D42C26F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D6F887D6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75C45D4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0424AA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B82E0EE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C3D08E7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4BE5BC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138E8E2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09A497C"/>
    <w:multiLevelType w:val="multilevel"/>
    <w:tmpl w:val="4510C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B643B03"/>
    <w:multiLevelType w:val="hybridMultilevel"/>
    <w:tmpl w:val="5CB28184"/>
    <w:lvl w:ilvl="0" w:tplc="09B6F0FC">
      <w:start w:val="9"/>
      <w:numFmt w:val="decimal"/>
      <w:lvlText w:val="%1."/>
      <w:lvlJc w:val="left"/>
      <w:pPr>
        <w:ind w:left="720" w:hanging="360"/>
      </w:pPr>
    </w:lvl>
    <w:lvl w:ilvl="1" w:tplc="816ECABA">
      <w:start w:val="1"/>
      <w:numFmt w:val="lowerLetter"/>
      <w:lvlText w:val="%2."/>
      <w:lvlJc w:val="left"/>
      <w:pPr>
        <w:ind w:left="1440" w:hanging="360"/>
      </w:pPr>
    </w:lvl>
    <w:lvl w:ilvl="2" w:tplc="C36ED46C">
      <w:start w:val="1"/>
      <w:numFmt w:val="lowerRoman"/>
      <w:lvlText w:val="%3."/>
      <w:lvlJc w:val="right"/>
      <w:pPr>
        <w:ind w:left="2160" w:hanging="180"/>
      </w:pPr>
    </w:lvl>
    <w:lvl w:ilvl="3" w:tplc="BB1CA98A">
      <w:start w:val="1"/>
      <w:numFmt w:val="decimal"/>
      <w:lvlText w:val="%4."/>
      <w:lvlJc w:val="left"/>
      <w:pPr>
        <w:ind w:left="2880" w:hanging="360"/>
      </w:pPr>
    </w:lvl>
    <w:lvl w:ilvl="4" w:tplc="C75EE764">
      <w:start w:val="1"/>
      <w:numFmt w:val="lowerLetter"/>
      <w:lvlText w:val="%5."/>
      <w:lvlJc w:val="left"/>
      <w:pPr>
        <w:ind w:left="3600" w:hanging="360"/>
      </w:pPr>
    </w:lvl>
    <w:lvl w:ilvl="5" w:tplc="7C9A9FD6">
      <w:start w:val="1"/>
      <w:numFmt w:val="lowerRoman"/>
      <w:lvlText w:val="%6."/>
      <w:lvlJc w:val="right"/>
      <w:pPr>
        <w:ind w:left="4320" w:hanging="180"/>
      </w:pPr>
    </w:lvl>
    <w:lvl w:ilvl="6" w:tplc="6AF6DC6A">
      <w:start w:val="1"/>
      <w:numFmt w:val="decimal"/>
      <w:lvlText w:val="%7."/>
      <w:lvlJc w:val="left"/>
      <w:pPr>
        <w:ind w:left="5040" w:hanging="360"/>
      </w:pPr>
    </w:lvl>
    <w:lvl w:ilvl="7" w:tplc="6250193A">
      <w:start w:val="1"/>
      <w:numFmt w:val="lowerLetter"/>
      <w:lvlText w:val="%8."/>
      <w:lvlJc w:val="left"/>
      <w:pPr>
        <w:ind w:left="5760" w:hanging="360"/>
      </w:pPr>
    </w:lvl>
    <w:lvl w:ilvl="8" w:tplc="0AAA9E4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42749"/>
    <w:multiLevelType w:val="hybridMultilevel"/>
    <w:tmpl w:val="98A47B2A"/>
    <w:lvl w:ilvl="0" w:tplc="6CD0E2C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C6D2FE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5B081D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C1AB07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282C25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9C2450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FAA88A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D9066D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210DEC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EE"/>
    <w:rsid w:val="003E74E0"/>
    <w:rsid w:val="00E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GridTable7Colorful-Accent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customStyle="1" w:styleId="14">
    <w:name w:val="Текст концевой сноски Знак1"/>
    <w:link w:val="ae"/>
    <w:uiPriority w:val="99"/>
    <w:rPr>
      <w:sz w:val="20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4">
    <w:name w:val="Основной текст Знак2"/>
    <w:basedOn w:val="a0"/>
    <w:link w:val="af1"/>
    <w:uiPriority w:val="99"/>
    <w:qFormat/>
    <w:rPr>
      <w:rFonts w:ascii="Times New Roman" w:hAnsi="Times New Roman" w:cs="Times New Roman"/>
      <w:b/>
      <w:sz w:val="28"/>
    </w:rPr>
  </w:style>
  <w:style w:type="character" w:customStyle="1" w:styleId="16">
    <w:name w:val="Основной текст Знак1"/>
    <w:basedOn w:val="a0"/>
    <w:uiPriority w:val="99"/>
    <w:qFormat/>
    <w:rPr>
      <w:rFonts w:ascii="Times New Roman" w:hAnsi="Times New Roman" w:cs="Times New Roman"/>
      <w:b/>
      <w:sz w:val="20"/>
    </w:rPr>
  </w:style>
  <w:style w:type="character" w:customStyle="1" w:styleId="af2">
    <w:name w:val="Основной текст Знак"/>
    <w:uiPriority w:val="99"/>
    <w:semiHidden/>
    <w:qFormat/>
  </w:style>
  <w:style w:type="character" w:customStyle="1" w:styleId="af3">
    <w:name w:val="Основной текст с отступом Знак"/>
    <w:basedOn w:val="a0"/>
    <w:uiPriority w:val="99"/>
    <w:qFormat/>
    <w:rPr>
      <w:rFonts w:ascii="Times New Roman" w:hAnsi="Times New Roman" w:cs="Times New Roman"/>
      <w:sz w:val="24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hAnsi="Tahoma" w:cs="Times New Roman"/>
      <w:sz w:val="16"/>
    </w:rPr>
  </w:style>
  <w:style w:type="character" w:customStyle="1" w:styleId="af5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f6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7">
    <w:name w:val="Текст сноски Знак"/>
    <w:basedOn w:val="a0"/>
    <w:uiPriority w:val="99"/>
    <w:semiHidden/>
    <w:qFormat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f9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afb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24"/>
    <w:uiPriority w:val="99"/>
    <w:rPr>
      <w:b/>
      <w:sz w:val="20"/>
      <w:szCs w:val="20"/>
    </w:rPr>
  </w:style>
  <w:style w:type="paragraph" w:styleId="afc">
    <w:name w:val="List"/>
    <w:basedOn w:val="af1"/>
    <w:rPr>
      <w:rFonts w:cs="Ari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customStyle="1" w:styleId="17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 Indent"/>
    <w:basedOn w:val="a"/>
    <w:uiPriority w:val="99"/>
    <w:pPr>
      <w:spacing w:after="120"/>
      <w:ind w:left="283"/>
    </w:pPr>
  </w:style>
  <w:style w:type="paragraph" w:customStyle="1" w:styleId="ConsPlusCell">
    <w:name w:val="ConsPlusCell"/>
    <w:uiPriority w:val="99"/>
    <w:qFormat/>
    <w:pPr>
      <w:widowControl w:val="0"/>
    </w:pPr>
    <w:rPr>
      <w:rFonts w:cs="Calibri"/>
    </w:rPr>
  </w:style>
  <w:style w:type="paragraph" w:styleId="aff0">
    <w:name w:val="Balloon Text"/>
    <w:basedOn w:val="a"/>
    <w:uiPriority w:val="99"/>
    <w:semiHidden/>
    <w:qFormat/>
    <w:rPr>
      <w:rFonts w:ascii="Tahoma" w:hAnsi="Tahoma"/>
      <w:sz w:val="16"/>
      <w:szCs w:val="16"/>
    </w:rPr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uiPriority w:val="99"/>
    <w:qFormat/>
    <w:pPr>
      <w:ind w:left="720"/>
      <w:contextualSpacing/>
    </w:pPr>
  </w:style>
  <w:style w:type="paragraph" w:customStyle="1" w:styleId="aff2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pacing w:beforeAutospacing="1" w:afterAutospacing="1"/>
    </w:pPr>
  </w:style>
  <w:style w:type="paragraph" w:styleId="ad">
    <w:name w:val="footnote text"/>
    <w:basedOn w:val="a"/>
    <w:link w:val="13"/>
    <w:uiPriority w:val="99"/>
    <w:semiHidden/>
    <w:unhideWhenUsed/>
    <w:qFormat/>
    <w:rPr>
      <w:sz w:val="20"/>
      <w:szCs w:val="20"/>
    </w:rPr>
  </w:style>
  <w:style w:type="paragraph" w:styleId="ae">
    <w:name w:val="endnote text"/>
    <w:basedOn w:val="a"/>
    <w:link w:val="14"/>
    <w:uiPriority w:val="99"/>
    <w:semiHidden/>
    <w:unhideWhenUsed/>
    <w:qFormat/>
    <w:rPr>
      <w:sz w:val="20"/>
      <w:szCs w:val="20"/>
    </w:rPr>
  </w:style>
  <w:style w:type="table" w:styleId="aff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GridTable7Colorful-Accent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Calibri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pPr>
      <w:keepNext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d"/>
    <w:uiPriority w:val="99"/>
    <w:rPr>
      <w:sz w:val="18"/>
    </w:rPr>
  </w:style>
  <w:style w:type="character" w:customStyle="1" w:styleId="14">
    <w:name w:val="Текст концевой сноски Знак1"/>
    <w:link w:val="ae"/>
    <w:uiPriority w:val="99"/>
    <w:rPr>
      <w:sz w:val="20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4">
    <w:name w:val="Основной текст Знак2"/>
    <w:basedOn w:val="a0"/>
    <w:link w:val="af1"/>
    <w:uiPriority w:val="99"/>
    <w:qFormat/>
    <w:rPr>
      <w:rFonts w:ascii="Times New Roman" w:hAnsi="Times New Roman" w:cs="Times New Roman"/>
      <w:b/>
      <w:sz w:val="28"/>
    </w:rPr>
  </w:style>
  <w:style w:type="character" w:customStyle="1" w:styleId="16">
    <w:name w:val="Основной текст Знак1"/>
    <w:basedOn w:val="a0"/>
    <w:uiPriority w:val="99"/>
    <w:qFormat/>
    <w:rPr>
      <w:rFonts w:ascii="Times New Roman" w:hAnsi="Times New Roman" w:cs="Times New Roman"/>
      <w:b/>
      <w:sz w:val="20"/>
    </w:rPr>
  </w:style>
  <w:style w:type="character" w:customStyle="1" w:styleId="af2">
    <w:name w:val="Основной текст Знак"/>
    <w:uiPriority w:val="99"/>
    <w:semiHidden/>
    <w:qFormat/>
  </w:style>
  <w:style w:type="character" w:customStyle="1" w:styleId="af3">
    <w:name w:val="Основной текст с отступом Знак"/>
    <w:basedOn w:val="a0"/>
    <w:uiPriority w:val="99"/>
    <w:qFormat/>
    <w:rPr>
      <w:rFonts w:ascii="Times New Roman" w:hAnsi="Times New Roman" w:cs="Times New Roman"/>
      <w:sz w:val="24"/>
    </w:rPr>
  </w:style>
  <w:style w:type="character" w:customStyle="1" w:styleId="af4">
    <w:name w:val="Текст выноски Знак"/>
    <w:basedOn w:val="a0"/>
    <w:uiPriority w:val="99"/>
    <w:semiHidden/>
    <w:qFormat/>
    <w:rPr>
      <w:rFonts w:ascii="Tahoma" w:hAnsi="Tahoma" w:cs="Times New Roman"/>
      <w:sz w:val="16"/>
    </w:rPr>
  </w:style>
  <w:style w:type="character" w:customStyle="1" w:styleId="af5">
    <w:name w:val="Верхний колонтитул Знак"/>
    <w:basedOn w:val="a0"/>
    <w:uiPriority w:val="99"/>
    <w:qFormat/>
    <w:rPr>
      <w:rFonts w:cs="Times New Roman"/>
    </w:rPr>
  </w:style>
  <w:style w:type="character" w:customStyle="1" w:styleId="af6">
    <w:name w:val="Нижний колонтитул Знак"/>
    <w:basedOn w:val="a0"/>
    <w:uiPriority w:val="99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7">
    <w:name w:val="Текст сноски Знак"/>
    <w:basedOn w:val="a0"/>
    <w:uiPriority w:val="99"/>
    <w:semiHidden/>
    <w:qFormat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f9">
    <w:name w:val="Текст концевой сноски Знак"/>
    <w:basedOn w:val="a0"/>
    <w:uiPriority w:val="99"/>
    <w:semiHidden/>
    <w:qFormat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8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paragraph" w:customStyle="1" w:styleId="afb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link w:val="24"/>
    <w:uiPriority w:val="99"/>
    <w:rPr>
      <w:b/>
      <w:sz w:val="20"/>
      <w:szCs w:val="20"/>
    </w:rPr>
  </w:style>
  <w:style w:type="paragraph" w:styleId="afc">
    <w:name w:val="List"/>
    <w:basedOn w:val="af1"/>
    <w:rPr>
      <w:rFonts w:cs="Ari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customStyle="1" w:styleId="17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 Indent"/>
    <w:basedOn w:val="a"/>
    <w:uiPriority w:val="99"/>
    <w:pPr>
      <w:spacing w:after="120"/>
      <w:ind w:left="283"/>
    </w:pPr>
  </w:style>
  <w:style w:type="paragraph" w:customStyle="1" w:styleId="ConsPlusCell">
    <w:name w:val="ConsPlusCell"/>
    <w:uiPriority w:val="99"/>
    <w:qFormat/>
    <w:pPr>
      <w:widowControl w:val="0"/>
    </w:pPr>
    <w:rPr>
      <w:rFonts w:cs="Calibri"/>
    </w:rPr>
  </w:style>
  <w:style w:type="paragraph" w:styleId="aff0">
    <w:name w:val="Balloon Text"/>
    <w:basedOn w:val="a"/>
    <w:uiPriority w:val="99"/>
    <w:semiHidden/>
    <w:qFormat/>
    <w:rPr>
      <w:rFonts w:ascii="Tahoma" w:hAnsi="Tahoma"/>
      <w:sz w:val="16"/>
      <w:szCs w:val="16"/>
    </w:rPr>
  </w:style>
  <w:style w:type="paragraph" w:styleId="aa">
    <w:name w:val="header"/>
    <w:basedOn w:val="a"/>
    <w:link w:val="11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uiPriority w:val="99"/>
    <w:qFormat/>
    <w:pPr>
      <w:ind w:left="720"/>
      <w:contextualSpacing/>
    </w:pPr>
  </w:style>
  <w:style w:type="paragraph" w:customStyle="1" w:styleId="aff2">
    <w:name w:val="Содержимое врезки"/>
    <w:basedOn w:val="a"/>
    <w:qFormat/>
  </w:style>
  <w:style w:type="paragraph" w:customStyle="1" w:styleId="formattext">
    <w:name w:val="formattext"/>
    <w:basedOn w:val="a"/>
    <w:qFormat/>
    <w:pPr>
      <w:spacing w:beforeAutospacing="1" w:afterAutospacing="1"/>
    </w:pPr>
  </w:style>
  <w:style w:type="paragraph" w:styleId="ad">
    <w:name w:val="footnote text"/>
    <w:basedOn w:val="a"/>
    <w:link w:val="13"/>
    <w:uiPriority w:val="99"/>
    <w:semiHidden/>
    <w:unhideWhenUsed/>
    <w:qFormat/>
    <w:rPr>
      <w:sz w:val="20"/>
      <w:szCs w:val="20"/>
    </w:rPr>
  </w:style>
  <w:style w:type="paragraph" w:styleId="ae">
    <w:name w:val="endnote text"/>
    <w:basedOn w:val="a"/>
    <w:link w:val="14"/>
    <w:uiPriority w:val="99"/>
    <w:semiHidden/>
    <w:unhideWhenUsed/>
    <w:qFormat/>
    <w:rPr>
      <w:sz w:val="20"/>
      <w:szCs w:val="20"/>
    </w:rPr>
  </w:style>
  <w:style w:type="table" w:styleId="aff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C8A8FF0-9D67-4498-B871-A1633E99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6607</Words>
  <Characters>37660</Characters>
  <Application>Microsoft Office Word</Application>
  <DocSecurity>4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44179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Лехновская Ирина Евгеньевна</cp:lastModifiedBy>
  <cp:revision>2</cp:revision>
  <cp:lastPrinted>2022-01-28T11:03:00Z</cp:lastPrinted>
  <dcterms:created xsi:type="dcterms:W3CDTF">2022-01-28T11:03:00Z</dcterms:created>
  <dcterms:modified xsi:type="dcterms:W3CDTF">2022-01-28T11:03:00Z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