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bidi w:val="0"/>
        <w:ind w:left="5556" w:right="0" w:hanging="0"/>
        <w:jc w:val="left"/>
        <w:rPr/>
      </w:pPr>
      <w:r>
        <w:rPr>
          <w:sz w:val="28"/>
          <w:szCs w:val="28"/>
        </w:rPr>
        <w:t>ПРИЛОЖЕНИЕ</w:t>
      </w:r>
    </w:p>
    <w:p>
      <w:pPr>
        <w:pStyle w:val="Normal"/>
        <w:widowControl/>
        <w:suppressAutoHyphens w:val="false"/>
        <w:bidi w:val="0"/>
        <w:ind w:left="5556" w:right="0" w:hanging="0"/>
        <w:jc w:val="left"/>
        <w:rPr/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widowControl/>
        <w:tabs>
          <w:tab w:val="clear" w:pos="708"/>
          <w:tab w:val="left" w:pos="5730" w:leader="none"/>
        </w:tabs>
        <w:suppressAutoHyphens w:val="false"/>
        <w:bidi w:val="0"/>
        <w:ind w:left="5556" w:right="0" w:hanging="0"/>
        <w:jc w:val="left"/>
        <w:rPr/>
      </w:pPr>
      <w:r>
        <w:rPr>
          <w:sz w:val="28"/>
          <w:szCs w:val="28"/>
        </w:rPr>
        <w:t>Копейского городского округа</w:t>
      </w:r>
    </w:p>
    <w:p>
      <w:pPr>
        <w:pStyle w:val="Normal"/>
        <w:widowControl/>
        <w:suppressAutoHyphens w:val="false"/>
        <w:bidi w:val="0"/>
        <w:ind w:left="5556" w:right="0" w:hanging="0"/>
        <w:jc w:val="left"/>
        <w:rPr/>
      </w:pPr>
      <w:r>
        <w:rPr>
          <w:sz w:val="28"/>
          <w:szCs w:val="28"/>
        </w:rPr>
        <w:t>от __________ № 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center"/>
        <w:rPr/>
      </w:pPr>
      <w:r>
        <w:rPr>
          <w:color w:val="000000"/>
          <w:sz w:val="28"/>
          <w:szCs w:val="28"/>
        </w:rPr>
        <w:t>Изменения в муниципальную программу «Переселение граждан из аварийного жилищного фонда Копейского городского округа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>»</w:t>
      </w:r>
    </w:p>
    <w:p>
      <w:pPr>
        <w:pStyle w:val="Normal"/>
        <w:ind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680"/>
        <w:jc w:val="both"/>
        <w:rPr/>
      </w:pPr>
      <w:r>
        <w:rPr>
          <w:color w:val="000000"/>
          <w:sz w:val="28"/>
          <w:szCs w:val="28"/>
        </w:rPr>
        <w:t xml:space="preserve">1. Таблицу </w:t>
      </w:r>
      <w:r>
        <w:rPr>
          <w:color w:val="000000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пункта 4</w:t>
      </w:r>
      <w:r>
        <w:rPr>
          <w:color w:val="000000"/>
          <w:sz w:val="28"/>
          <w:szCs w:val="28"/>
        </w:rPr>
        <w:t xml:space="preserve"> паспорта муниципальной программы изложить в следующей редакции:</w:t>
      </w:r>
    </w:p>
    <w:p>
      <w:pPr>
        <w:pStyle w:val="Normal"/>
        <w:tabs>
          <w:tab w:val="clear" w:pos="708"/>
          <w:tab w:val="left" w:pos="1134" w:leader="none"/>
        </w:tabs>
        <w:bidi w:val="0"/>
        <w:ind w:left="0" w:right="0" w:firstLine="709"/>
        <w:jc w:val="right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  <w:t>«Таблица 1</w:t>
      </w:r>
    </w:p>
    <w:p>
      <w:pPr>
        <w:pStyle w:val="Normal"/>
        <w:tabs>
          <w:tab w:val="clear" w:pos="708"/>
          <w:tab w:val="left" w:pos="1134" w:leader="none"/>
        </w:tabs>
        <w:bidi w:val="0"/>
        <w:ind w:left="0" w:right="0" w:firstLine="709"/>
        <w:jc w:val="righ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</w:r>
    </w:p>
    <w:tbl>
      <w:tblPr>
        <w:tblW w:w="9713" w:type="dxa"/>
        <w:jc w:val="left"/>
        <w:tblInd w:w="-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4505"/>
        <w:gridCol w:w="1536"/>
        <w:gridCol w:w="1464"/>
        <w:gridCol w:w="1444"/>
      </w:tblGrid>
      <w:tr>
        <w:trPr>
          <w:trHeight w:val="403" w:hRule="atLeast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4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4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целевые показатели (индикаторы) муниципальной программы</w:t>
            </w:r>
          </w:p>
        </w:tc>
        <w:tc>
          <w:tcPr>
            <w:tcW w:w="4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целевых показателей (индикаторов) муниципальной программы</w:t>
            </w:r>
          </w:p>
        </w:tc>
      </w:tr>
      <w:tr>
        <w:trPr>
          <w:trHeight w:val="434" w:hRule="atLeast"/>
        </w:trPr>
        <w:tc>
          <w:tcPr>
            <w:tcW w:w="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napToGrid w:val="false"/>
              <w:spacing w:lineRule="auto" w:line="240" w:before="0" w:after="0"/>
              <w:ind w:left="-84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napToGrid w:val="false"/>
              <w:spacing w:lineRule="auto" w:line="240" w:before="0" w:after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65" w:right="-38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0" w:right="-6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66" w:right="-8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>
        <w:trPr>
          <w:trHeight w:val="165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4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65" w:right="-38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0" w:right="-6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66" w:right="-8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1368" w:hRule="atLeast"/>
        </w:trPr>
        <w:tc>
          <w:tcPr>
            <w:tcW w:w="9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0" w:right="-66" w:hanging="0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Цель: Создание в округе условий для переселения граждан из аварийных многоквартирных домов, уменьшение жилищного фонда округа, признанного по состоянию на 01 января 2017 года в установленном порядке аварийным и подлежащим сносу или реконструкции в связи с физическим износом в процессе его эксплуатации</w:t>
            </w:r>
          </w:p>
        </w:tc>
      </w:tr>
      <w:tr>
        <w:trPr>
          <w:trHeight w:val="1685" w:hRule="atLeast"/>
        </w:trPr>
        <w:tc>
          <w:tcPr>
            <w:tcW w:w="9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0" w:right="-66" w:hanging="0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Задача 1: Формирование жилищного фонда, необходимого для переселения граждан из аварийного жилищного фонда. Обеспечение жилищных прав граждан, проживающих в жилых помещениях муниципального жилищного фонда,  находящихся в аварийных многоквартирных домах (далее – МКД). Обеспечение жилищных прав собственников изымаемых жилых помещений, находящихся в аварийных МКД.</w:t>
            </w:r>
          </w:p>
        </w:tc>
      </w:tr>
      <w:tr>
        <w:trPr>
          <w:trHeight w:val="1098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4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rPr/>
            </w:pPr>
            <w:r>
              <w:rPr>
                <w:color w:val="000000"/>
                <w:sz w:val="24"/>
                <w:szCs w:val="24"/>
              </w:rPr>
              <w:t>Количество квадратных метров,            построенных (приобретенных) жилых помещений (квартир) (тыс.кв.м.)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65" w:right="-38" w:firstLine="5"/>
              <w:jc w:val="center"/>
              <w:rPr/>
            </w:pPr>
            <w:r>
              <w:rPr>
                <w:sz w:val="24"/>
                <w:szCs w:val="24"/>
              </w:rPr>
              <w:t>10,242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0" w:right="-66" w:hanging="0"/>
              <w:jc w:val="center"/>
              <w:rPr/>
            </w:pPr>
            <w:r>
              <w:rPr>
                <w:sz w:val="24"/>
                <w:szCs w:val="24"/>
                <w:lang w:eastAsia="ru-RU"/>
              </w:rPr>
              <w:t>21,367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66" w:right="-80" w:hanging="0"/>
              <w:jc w:val="center"/>
              <w:rPr/>
            </w:pPr>
            <w:r>
              <w:rPr>
                <w:sz w:val="24"/>
                <w:szCs w:val="24"/>
                <w:lang w:eastAsia="ru-RU"/>
              </w:rPr>
              <w:t>0,659</w:t>
            </w:r>
          </w:p>
        </w:tc>
      </w:tr>
      <w:tr>
        <w:trPr>
          <w:trHeight w:val="705" w:hRule="atLeast"/>
        </w:trPr>
        <w:tc>
          <w:tcPr>
            <w:tcW w:w="9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0" w:right="-66" w:hanging="0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Задача 2. Переселение жителей МКД, признанных аварийными по состоянию                               на 01 января 2017 года и подлежащими сносу или реконструкции.</w:t>
            </w:r>
          </w:p>
        </w:tc>
      </w:tr>
      <w:tr>
        <w:trPr>
          <w:trHeight w:val="701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4" w:right="-108" w:hanging="0"/>
              <w:jc w:val="center"/>
              <w:rPr/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Количество квадратных метров, расселенного аварийного жилищного фонда (тыс. кв.м.)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0" w:right="-66" w:hanging="0"/>
              <w:jc w:val="center"/>
              <w:rPr/>
            </w:pPr>
            <w:r>
              <w:rPr>
                <w:sz w:val="24"/>
                <w:szCs w:val="24"/>
              </w:rPr>
              <w:t>2,8659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0" w:right="-66" w:hanging="0"/>
              <w:jc w:val="center"/>
              <w:rPr/>
            </w:pPr>
            <w:r>
              <w:rPr>
                <w:sz w:val="24"/>
                <w:szCs w:val="24"/>
                <w:lang w:eastAsia="ru-RU"/>
              </w:rPr>
              <w:t>5,9925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66" w:right="-80" w:hanging="0"/>
              <w:jc w:val="center"/>
              <w:rPr/>
            </w:pPr>
            <w:r>
              <w:rPr>
                <w:sz w:val="24"/>
                <w:szCs w:val="24"/>
                <w:lang w:eastAsia="ru-RU"/>
              </w:rPr>
              <w:t>22,064</w:t>
            </w:r>
          </w:p>
        </w:tc>
      </w:tr>
      <w:tr>
        <w:trPr>
          <w:trHeight w:val="709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4" w:right="-108" w:hanging="0"/>
              <w:jc w:val="center"/>
              <w:rPr/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rPr/>
            </w:pPr>
            <w:r>
              <w:rPr>
                <w:color w:val="000000"/>
                <w:sz w:val="24"/>
                <w:szCs w:val="24"/>
              </w:rPr>
              <w:t>Количество граждан, расселенных из аварийного жилищного фонда (тыс.чел.)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-65" w:right="-38" w:firstLine="5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-80" w:right="-66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0,292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1,292»</w:t>
            </w:r>
          </w:p>
        </w:tc>
      </w:tr>
    </w:tbl>
    <w:p>
      <w:pPr>
        <w:pStyle w:val="Normal"/>
        <w:tabs>
          <w:tab w:val="clear" w:pos="708"/>
          <w:tab w:val="left" w:pos="1134" w:leader="none"/>
        </w:tabs>
        <w:bidi w:val="0"/>
        <w:ind w:left="0" w:right="0" w:firstLine="709"/>
        <w:jc w:val="righ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2. Пункт 5 паспорта муниципальной программы изложить в следующей редакции: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«5. Сроки и этапы реализации муниципальной программы.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Срок реализации муниципальной программы: рассчитан на                         2019-2023 годы в соответствии с системой основных мероприятий муниципальной программы, объемами их финансирования и ресурсным обеспечением.».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3. Пункт 6</w:t>
      </w:r>
      <w:r>
        <w:rPr>
          <w:color w:val="000000"/>
          <w:sz w:val="28"/>
          <w:szCs w:val="28"/>
        </w:rPr>
        <w:t xml:space="preserve"> паспорта муниципальной программы изложить в следующей редакции: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uppressAutoHyphens w:val="false"/>
        <w:bidi w:val="0"/>
        <w:spacing w:lineRule="auto" w:line="276" w:before="0" w:after="0"/>
        <w:ind w:left="737" w:right="0" w:hanging="0"/>
        <w:contextualSpacing/>
        <w:jc w:val="both"/>
        <w:rPr/>
      </w:pPr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zh-CN" w:bidi="ar-SA"/>
        </w:rPr>
        <w:t>«6. Объемы бюджетных ассигнований муниципальной программы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zh-CN" w:bidi="ar-SA"/>
        </w:rPr>
        <w:t>.</w:t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zh-CN" w:bidi="ar-SA"/>
        </w:rPr>
        <w:t xml:space="preserve">Общий объем финансового обеспечения муниципальной программы в  2019-2023 годах составит </w:t>
      </w:r>
      <w:bookmarkStart w:id="0" w:name="__DdeLink__2977_502030887"/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zh-CN" w:bidi="ar-SA"/>
        </w:rPr>
        <w:t>2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zh-CN" w:bidi="ar-SA"/>
        </w:rPr>
        <w:t xml:space="preserve"> 119 429,75</w:t>
      </w:r>
      <w:bookmarkEnd w:id="0"/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zh-CN" w:bidi="ar-SA"/>
        </w:rPr>
        <w:t xml:space="preserve"> тыс. рублей, в том числе:</w:t>
      </w:r>
    </w:p>
    <w:p>
      <w:pPr>
        <w:pStyle w:val="Normal"/>
        <w:tabs>
          <w:tab w:val="clear" w:pos="708"/>
          <w:tab w:val="left" w:pos="1134" w:leader="none"/>
        </w:tabs>
        <w:bidi w:val="0"/>
        <w:ind w:left="0" w:right="0" w:firstLine="709"/>
        <w:jc w:val="right"/>
        <w:rPr>
          <w:rFonts w:ascii="Times New Roman" w:hAnsi="Times New Roman" w:eastAsia="Times New Roman" w:cs="Times New Roman"/>
          <w:color w:val="000000"/>
          <w:kern w:val="2"/>
          <w:sz w:val="28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</w:r>
    </w:p>
    <w:p>
      <w:pPr>
        <w:pStyle w:val="Normal"/>
        <w:tabs>
          <w:tab w:val="clear" w:pos="708"/>
          <w:tab w:val="left" w:pos="1134" w:leader="none"/>
        </w:tabs>
        <w:bidi w:val="0"/>
        <w:ind w:left="0" w:right="0" w:firstLine="709"/>
        <w:jc w:val="right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  <w:t>Таблица 2</w:t>
      </w:r>
    </w:p>
    <w:tbl>
      <w:tblPr>
        <w:tblW w:w="939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22"/>
        <w:gridCol w:w="2352"/>
        <w:gridCol w:w="2277"/>
        <w:gridCol w:w="1874"/>
        <w:gridCol w:w="1966"/>
      </w:tblGrid>
      <w:tr>
        <w:trPr/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  <w:t>Год</w:t>
            </w:r>
          </w:p>
        </w:tc>
        <w:tc>
          <w:tcPr>
            <w:tcW w:w="8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  <w:t>Объемы финансирования (тыс. рублей)</w:t>
            </w:r>
          </w:p>
        </w:tc>
      </w:tr>
      <w:tr>
        <w:trPr/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  <w:t>местный бюджет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vertAlign w:val="superscript"/>
                <w:lang w:eastAsia="zh-CN" w:bidi="ar-SA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  <w:t>областной бюджет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vertAlign w:val="superscript"/>
                <w:lang w:eastAsia="zh-CN" w:bidi="ar-SA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  <w:t>средства</w:t>
            </w:r>
          </w:p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  <w:t>Фонда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vertAlign w:val="superscript"/>
                <w:lang w:eastAsia="zh-CN" w:bidi="ar-SA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  <w:t>итого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  <w:t>2019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35 149,77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140 599,10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175 749,87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  <w:t>2020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86,00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17 094,70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68 378,90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85 559,60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  <w:t>2021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325,00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115 721,14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258 493,21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374 539,35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  <w:t>2022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1 127,51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192 163,29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944 338,03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1 137 628,83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346,00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323 892,50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21 713,60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345 952,10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  <w:t>Всего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1 885,51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684 021,40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1 433 522,84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bookmarkStart w:id="1" w:name="__DdeLink__6493_2807200253"/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119 429,75»</w:t>
            </w:r>
          </w:p>
        </w:tc>
      </w:tr>
    </w:tbl>
    <w:p>
      <w:pPr>
        <w:pStyle w:val="ListParagraph"/>
        <w:keepNext w:val="true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Абзац 2 пункта 2 раздела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паспорта муниципальной программы изложить в следующей редакции:</w:t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«В рамках настоящей муниципальной программы разработаны мероприятия, в соответствии с областной адресной программой «Переселение в                    2019-2023 годах граждан из аварийного жилищного фонда в городах и районах Челябинской области», утвержденной постановлением Правительства Челябинской области от 29 марта 2019 года № 158-П, которые являются продолжением мероприятий, осуществляемых в рамках областной адресной программы «Переселение в 2013-2017 годах граждан из аварийного жилищного фонда в городах и районах Челябинской области», утвержденной постановлением Правительства Челябинской области от 19 декабря 2012 года № 679-П «Об областной адресной программе «Переселение в 2013-2017 годах граждан из аварийного жилищного фонда в городах и районах Челябинской области».».</w:t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5. Абзац 3 пункта 10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паспорта муниципальной программы изложить в следующей редакции: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«В случае, если стоимость одного квадратного метра превышает цену приобретения жилых помещений, установленную в приложении 2 к областной адресной программе «Переселение в 2019-2023 годах граждан из аварийного жилищного фонда в городах и районах Челябинской области», утвержденной постановлением Правительства Челябинской области от 29 марта 2019 года     № 158-П, финансирование таких расходов на оплату превышения осуществляется на счет средств областного и (или) местного бюджетов.».</w:t>
      </w:r>
    </w:p>
    <w:p>
      <w:pPr>
        <w:pStyle w:val="23"/>
        <w:ind w:left="0" w:right="0" w:firstLine="113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left"/>
        <w:rPr/>
      </w:pPr>
      <w:r>
        <w:rPr>
          <w:rFonts w:ascii="Times New Roman" w:hAnsi="Times New Roman"/>
          <w:color w:val="000000"/>
          <w:sz w:val="28"/>
          <w:szCs w:val="28"/>
        </w:rPr>
        <w:t>6. Таблицу 3 приложения 1 к муниципальной программе изложить в следующей редакции: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«Система мероприятий муниципальной программы</w:t>
      </w:r>
    </w:p>
    <w:p>
      <w:pPr>
        <w:pStyle w:val="Normal"/>
        <w:spacing w:lineRule="auto" w:line="240" w:before="0" w:after="0"/>
        <w:contextualSpacing/>
        <w:jc w:val="right"/>
        <w:rPr>
          <w:color w:val="000000"/>
          <w:szCs w:val="28"/>
        </w:rPr>
      </w:pPr>
      <w:r>
        <w:rPr>
          <w:color w:val="000000"/>
          <w:szCs w:val="28"/>
        </w:rPr>
        <w:t>Таблица 3</w:t>
      </w:r>
    </w:p>
    <w:tbl>
      <w:tblPr>
        <w:tblW w:w="15581" w:type="dxa"/>
        <w:jc w:val="lef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416"/>
        <w:gridCol w:w="1281"/>
        <w:gridCol w:w="1044"/>
        <w:gridCol w:w="1307"/>
        <w:gridCol w:w="960"/>
        <w:gridCol w:w="1421"/>
        <w:gridCol w:w="1519"/>
        <w:gridCol w:w="1594"/>
        <w:gridCol w:w="1594"/>
        <w:gridCol w:w="1739"/>
      </w:tblGrid>
      <w:tr>
        <w:trPr/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мероприятия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Срок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реализации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Источник финансирования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показателя из паспорта программы</w:t>
            </w:r>
          </w:p>
        </w:tc>
        <w:tc>
          <w:tcPr>
            <w:tcW w:w="7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Объем финансирования по годам реализации муниципальной программы, тыс. рублей</w:t>
            </w:r>
          </w:p>
        </w:tc>
      </w:tr>
      <w:tr>
        <w:trPr/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2019 год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 год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2021 год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 год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2023 год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</w:tr>
      <w:tr>
        <w:trPr>
          <w:trHeight w:val="342" w:hRule="atLeast"/>
        </w:trPr>
        <w:tc>
          <w:tcPr>
            <w:tcW w:w="155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Цель: Создание в округе условий для переселения граждан из аварийных многоквартирных домов, уменьшение жилищного фонда округа, признанного по состоянию на 1 января 2017 года в установленном порядке аварийным и подлежащим сносу или реконструкции в связи с физическим износом в процессе его эксплуатации</w:t>
            </w:r>
          </w:p>
        </w:tc>
      </w:tr>
      <w:tr>
        <w:trPr>
          <w:trHeight w:val="591" w:hRule="atLeast"/>
        </w:trPr>
        <w:tc>
          <w:tcPr>
            <w:tcW w:w="155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rFonts w:cs="Times New Roman" w:ascii="Times New Roman" w:hAnsi="Times New Roman"/>
              </w:rPr>
              <w:t>Задача 1: Формирование жилищного фонда, необходимого для переселения граждан из аварийного жилищного фонда. Обеспечение жилищных прав граждан, проживающих в жилых помещениях муниципального жилищного фонда,  находящихся в аварийных многоквартирных домах. Обеспечение жилищных прав собственников изымаемых жилых помещений, находящихся в аварийных МКД</w:t>
            </w:r>
          </w:p>
        </w:tc>
      </w:tr>
      <w:tr>
        <w:trPr>
          <w:trHeight w:val="586" w:hRule="atLeast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rFonts w:cs="Times New Roman" w:ascii="Times New Roman" w:hAnsi="Times New Roman"/>
              </w:rPr>
              <w:t>Приобретение благоустроенных жилых помещений (квартир) для расселения 95 аварийных МКД, общей площадью    37 239,01 кв.м.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УИиЗО,</w:t>
            </w:r>
          </w:p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УАиГ,    МУ «Управление строительства»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2019-2023 годы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86,00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325,00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1127,51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346,00</w:t>
            </w:r>
          </w:p>
        </w:tc>
      </w:tr>
      <w:tr>
        <w:trPr>
          <w:trHeight w:val="536" w:hRule="atLeast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snapToGrid w:val="fals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2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35149,77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17094,70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115721,14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192163,29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323892,50</w:t>
            </w:r>
          </w:p>
        </w:tc>
      </w:tr>
      <w:tr>
        <w:trPr>
          <w:trHeight w:val="787" w:hRule="atLeast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snapToGrid w:val="fals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2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rFonts w:cs="Times New Roman" w:ascii="Times New Roman" w:hAnsi="Times New Roman"/>
              </w:rPr>
              <w:t>Средства Фонда</w:t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37" w:right="-69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140599,10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68378,90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258493,21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944338,03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bookmarkStart w:id="2" w:name="__DdeLink__8704_3567833211"/>
            <w:r>
              <w:rPr>
                <w:rFonts w:cs="Times New Roman" w:ascii="Times New Roman" w:hAnsi="Times New Roman"/>
                <w:sz w:val="24"/>
                <w:szCs w:val="24"/>
              </w:rPr>
              <w:t>21713,60</w:t>
            </w:r>
            <w:bookmarkEnd w:id="2"/>
          </w:p>
        </w:tc>
      </w:tr>
      <w:tr>
        <w:trPr>
          <w:trHeight w:val="293" w:hRule="atLeast"/>
        </w:trPr>
        <w:tc>
          <w:tcPr>
            <w:tcW w:w="155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rFonts w:cs="Times New Roman" w:ascii="Times New Roman" w:hAnsi="Times New Roman"/>
              </w:rPr>
              <w:t>Задача 2. Переселение жителей МКД, признанных аварийными по состоянию на 01 января 2017 года и подлежащих сносу или реконструкции</w:t>
            </w:r>
          </w:p>
        </w:tc>
      </w:tr>
      <w:tr>
        <w:trPr>
          <w:trHeight w:val="138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rFonts w:cs="Times New Roman" w:ascii="Times New Roman" w:hAnsi="Times New Roman"/>
              </w:rPr>
              <w:t>Расселение 95 аварийных МКД, общей площадью 37 239,01 кв.м.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УИиЗО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2019-2023 годы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1.2.1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tabs>
          <w:tab w:val="clear" w:pos="708"/>
          <w:tab w:val="left" w:pos="1134" w:leader="none"/>
        </w:tabs>
        <w:bidi w:val="0"/>
        <w:spacing w:lineRule="auto" w:line="240" w:before="0" w:after="0"/>
        <w:ind w:left="0" w:right="0"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40" w:before="0" w:after="0"/>
        <w:ind w:left="0" w:right="0" w:firstLine="709"/>
        <w:contextualSpacing/>
        <w:jc w:val="right"/>
        <w:rPr/>
      </w:pPr>
      <w:r>
        <w:rPr>
          <w:rFonts w:ascii="Times New Roman" w:hAnsi="Times New Roman"/>
          <w:color w:val="000000"/>
          <w:sz w:val="28"/>
          <w:szCs w:val="28"/>
        </w:rPr>
        <w:t>Окончание таблицы 3</w:t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tbl>
      <w:tblPr>
        <w:tblW w:w="15484" w:type="dxa"/>
        <w:jc w:val="lef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417"/>
        <w:gridCol w:w="1082"/>
        <w:gridCol w:w="1013"/>
        <w:gridCol w:w="1308"/>
        <w:gridCol w:w="1183"/>
        <w:gridCol w:w="1595"/>
        <w:gridCol w:w="1350"/>
        <w:gridCol w:w="1425"/>
        <w:gridCol w:w="1595"/>
        <w:gridCol w:w="1810"/>
      </w:tblGrid>
      <w:tr>
        <w:trPr>
          <w:trHeight w:val="31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</w:tr>
      <w:tr>
        <w:trPr>
          <w:trHeight w:val="1104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rFonts w:cs="Times New Roman" w:ascii="Times New Roman" w:hAnsi="Times New Roman"/>
              </w:rPr>
              <w:t>Переселение 2 239 жителей 95 аварийных МКД.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УИиЗО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2019-2023 годы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1.2.2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318" w:hRule="atLeast"/>
        </w:trPr>
        <w:tc>
          <w:tcPr>
            <w:tcW w:w="52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по муниципальной программе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86,00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325,00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1127,51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346,00</w:t>
            </w:r>
          </w:p>
        </w:tc>
      </w:tr>
      <w:tr>
        <w:trPr>
          <w:trHeight w:val="318" w:hRule="atLeast"/>
        </w:trPr>
        <w:tc>
          <w:tcPr>
            <w:tcW w:w="5216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35149,77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17094,70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115721,14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192163,29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323892,50</w:t>
            </w:r>
          </w:p>
        </w:tc>
      </w:tr>
      <w:tr>
        <w:trPr>
          <w:trHeight w:val="318" w:hRule="atLeast"/>
        </w:trPr>
        <w:tc>
          <w:tcPr>
            <w:tcW w:w="5216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Средства Фонда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37" w:right="-69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140599,10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68378,90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258493,21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944338,03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bookmarkStart w:id="3" w:name="__DdeLink__8704_35678332112"/>
            <w:r>
              <w:rPr>
                <w:rFonts w:cs="Times New Roman" w:ascii="Times New Roman" w:hAnsi="Times New Roman"/>
                <w:sz w:val="24"/>
                <w:szCs w:val="24"/>
              </w:rPr>
              <w:t>21713,60</w:t>
            </w:r>
            <w:bookmarkEnd w:id="3"/>
          </w:p>
        </w:tc>
      </w:tr>
      <w:tr>
        <w:trPr>
          <w:trHeight w:val="318" w:hRule="atLeast"/>
        </w:trPr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 по муниципальной программе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1134" w:leader="none"/>
              </w:tabs>
              <w:bidi w:val="0"/>
              <w:spacing w:lineRule="auto" w:line="276" w:before="0" w:after="0"/>
              <w:ind w:left="0" w:righ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Liberation Serif" w:ascii="Times New Roman" w:hAnsi="Times New Roman"/>
                <w:color w:val="000000"/>
                <w:kern w:val="2"/>
                <w:sz w:val="24"/>
                <w:szCs w:val="24"/>
                <w:lang w:val="ru-RU" w:eastAsia="zh-CN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ru-RU" w:eastAsia="zh-CN" w:bidi="ar-SA"/>
              </w:rPr>
              <w:t xml:space="preserve"> 119 429,75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37" w:right="-69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175749,87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85559,60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374539,35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1137628,83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345952,10»</w:t>
            </w:r>
          </w:p>
        </w:tc>
      </w:tr>
    </w:tbl>
    <w:p>
      <w:pPr>
        <w:pStyle w:val="Normal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7. Таблицу 4 приложения 2 к муниципальной программе изложить в следующей редакции:</w:t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ConsPlusNonformat"/>
        <w:widowControl/>
        <w:tabs>
          <w:tab w:val="clear" w:pos="708"/>
          <w:tab w:val="left" w:pos="266" w:leader="none"/>
          <w:tab w:val="left" w:pos="1134" w:leader="none"/>
        </w:tabs>
        <w:spacing w:before="0" w:after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«Сведения о целевых показателях (индикаторах) муниципальной программы и их значениях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928" w:right="0" w:hanging="0"/>
        <w:contextualSpacing/>
        <w:jc w:val="right"/>
        <w:rPr>
          <w:bCs/>
        </w:rPr>
      </w:pPr>
      <w:r>
        <w:rPr>
          <w:bCs/>
        </w:rPr>
        <w:t>Таблица 4</w:t>
      </w:r>
    </w:p>
    <w:tbl>
      <w:tblPr>
        <w:tblW w:w="15462" w:type="dxa"/>
        <w:jc w:val="lef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550"/>
        <w:gridCol w:w="1843"/>
        <w:gridCol w:w="1548"/>
        <w:gridCol w:w="1426"/>
        <w:gridCol w:w="1518"/>
        <w:gridCol w:w="1594"/>
        <w:gridCol w:w="1650"/>
        <w:gridCol w:w="1622"/>
      </w:tblGrid>
      <w:tr>
        <w:trPr>
          <w:trHeight w:val="403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4" w:right="-108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4" w:right="-108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72" w:righ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680" w:right="0" w:firstLine="9"/>
              <w:contextualSpacing/>
              <w:jc w:val="center"/>
              <w:rPr/>
            </w:pPr>
            <w:r>
              <w:rPr>
                <w:sz w:val="24"/>
                <w:szCs w:val="24"/>
              </w:rPr>
              <w:t>Значение целевых показателей (индикаторов)</w:t>
            </w:r>
          </w:p>
        </w:tc>
      </w:tr>
      <w:tr>
        <w:trPr>
          <w:trHeight w:val="434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napToGrid w:val="false"/>
              <w:spacing w:lineRule="auto" w:line="240" w:before="0" w:after="0"/>
              <w:ind w:left="-84" w:right="-108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napToGrid w:val="false"/>
              <w:spacing w:lineRule="auto" w:line="240" w:before="0" w:after="0"/>
              <w:ind w:left="680" w:right="0"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napToGrid w:val="false"/>
              <w:spacing w:lineRule="auto" w:line="240" w:before="0" w:after="0"/>
              <w:ind w:left="680" w:right="0"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38" w:right="0" w:firstLine="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65" w:right="-38"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0" w:right="-66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66" w:right="-8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uppressAutoHyphens w:val="false"/>
              <w:bidi w:val="0"/>
              <w:spacing w:lineRule="auto" w:line="240" w:before="0" w:after="0"/>
              <w:ind w:left="57" w:right="-57" w:hanging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Всего 2019-2023</w:t>
            </w:r>
          </w:p>
        </w:tc>
      </w:tr>
      <w:tr>
        <w:trPr>
          <w:trHeight w:val="16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4" w:right="-108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680" w:right="0" w:hanging="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38" w:right="0" w:firstLine="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65" w:right="-38"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0" w:right="-66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66" w:right="-8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uppressAutoHyphens w:val="false"/>
              <w:bidi w:val="0"/>
              <w:spacing w:lineRule="auto" w:line="240" w:before="0" w:after="0"/>
              <w:ind w:left="57" w:right="-57" w:hanging="0"/>
              <w:contextualSpacing/>
              <w:jc w:val="center"/>
              <w:rPr/>
            </w:pPr>
            <w:r>
              <w:rPr>
                <w:sz w:val="24"/>
                <w:szCs w:val="24"/>
              </w:rPr>
              <w:t>9</w:t>
            </w:r>
          </w:p>
        </w:tc>
      </w:tr>
      <w:tr>
        <w:trPr>
          <w:trHeight w:val="842" w:hRule="atLeast"/>
        </w:trPr>
        <w:tc>
          <w:tcPr>
            <w:tcW w:w="15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0" w:right="-66" w:hanging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Цель: Создание в округе условий для переселения граждан из аварийных многоквартирных домов, уменьшение жилищного фонда округа,             признанного по состоянию на 1 января 2017 года в установленном порядке аварийным и подлежащим сносу или реконструкции в связи с                физическим износом в процессе его эксплуатации</w:t>
            </w:r>
          </w:p>
        </w:tc>
      </w:tr>
      <w:tr>
        <w:trPr>
          <w:trHeight w:val="865" w:hRule="atLeast"/>
        </w:trPr>
        <w:tc>
          <w:tcPr>
            <w:tcW w:w="15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0" w:right="-66" w:hanging="0"/>
              <w:contextualSpacing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Задача 1: Формирование жилищного фонда, необходимого для переселения граждан из аварийного жилищного фонда. Обеспечение жилищных прав граждан, проживающих в жилых помещениях муниципального жилищного фонда, находящихся в аварийных многоквартирных домах. Обеспечение жилищных прав собственников изымаемых жилых помещений, находящихся в аварийных МКД.</w:t>
            </w:r>
          </w:p>
        </w:tc>
      </w:tr>
      <w:tr>
        <w:trPr>
          <w:trHeight w:val="136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4" w:right="-108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contextualSpacing/>
              <w:rPr/>
            </w:pPr>
            <w:r>
              <w:rPr>
                <w:color w:val="000000"/>
                <w:sz w:val="24"/>
                <w:szCs w:val="24"/>
              </w:rPr>
              <w:t>Количество квадратных метров, построенных (приобретенных) жилых помещений (квартир).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64" w:leader="none"/>
              </w:tabs>
              <w:spacing w:lineRule="auto" w:line="240" w:before="0" w:after="0"/>
              <w:ind w:left="-52" w:right="-94" w:hanging="0"/>
              <w:contextualSpacing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Тысяча квадратных метров общей площади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5,6701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38" w:right="0" w:firstLine="4"/>
              <w:contextualSpacing/>
              <w:jc w:val="center"/>
              <w:rPr/>
            </w:pPr>
            <w:r>
              <w:rPr>
                <w:sz w:val="24"/>
                <w:szCs w:val="24"/>
              </w:rPr>
              <w:t>2,6872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65" w:right="-38" w:firstLine="5"/>
              <w:contextualSpacing/>
              <w:jc w:val="center"/>
              <w:rPr/>
            </w:pPr>
            <w:r>
              <w:rPr>
                <w:sz w:val="24"/>
                <w:szCs w:val="24"/>
              </w:rPr>
              <w:t>10,242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0" w:right="-66" w:hanging="0"/>
              <w:contextualSpacing/>
              <w:jc w:val="center"/>
              <w:rPr/>
            </w:pPr>
            <w:r>
              <w:rPr>
                <w:sz w:val="24"/>
                <w:szCs w:val="24"/>
                <w:lang w:eastAsia="ru-RU"/>
              </w:rPr>
              <w:t>21,367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66" w:right="-80" w:hanging="0"/>
              <w:contextualSpacing/>
              <w:jc w:val="center"/>
              <w:rPr/>
            </w:pPr>
            <w:r>
              <w:rPr>
                <w:sz w:val="24"/>
                <w:szCs w:val="24"/>
                <w:lang w:eastAsia="ru-RU"/>
              </w:rPr>
              <w:t>0,659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uppressAutoHyphens w:val="false"/>
              <w:bidi w:val="0"/>
              <w:snapToGrid w:val="false"/>
              <w:spacing w:lineRule="auto" w:line="240" w:before="0" w:after="0"/>
              <w:ind w:left="57" w:right="-57" w:hanging="0"/>
              <w:contextualSpacing/>
              <w:jc w:val="center"/>
              <w:rPr/>
            </w:pPr>
            <w:r>
              <w:rPr>
                <w:sz w:val="24"/>
                <w:szCs w:val="24"/>
              </w:rPr>
              <w:t>40,625</w:t>
            </w:r>
          </w:p>
        </w:tc>
      </w:tr>
      <w:tr>
        <w:trPr>
          <w:trHeight w:val="261" w:hRule="atLeast"/>
        </w:trPr>
        <w:tc>
          <w:tcPr>
            <w:tcW w:w="15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64" w:leader="none"/>
              </w:tabs>
              <w:spacing w:lineRule="auto" w:line="240" w:before="0" w:after="0"/>
              <w:ind w:left="-52" w:right="-94" w:hanging="0"/>
              <w:contextualSpacing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Задача 2: Переселение жителей МКД, признанных аварийными по состоянию на 01 января 2017 года и подлежащих сносу или реконструкции.</w:t>
            </w:r>
          </w:p>
        </w:tc>
      </w:tr>
      <w:tr>
        <w:trPr>
          <w:trHeight w:val="98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4" w:right="-108" w:hanging="0"/>
              <w:contextualSpacing/>
              <w:jc w:val="center"/>
              <w:rPr/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contextualSpacing/>
              <w:rPr/>
            </w:pPr>
            <w:r>
              <w:rPr>
                <w:sz w:val="24"/>
                <w:szCs w:val="24"/>
              </w:rPr>
              <w:t>Количество квадратных метров, расселенного аварийного жилищного фонда.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64" w:leader="none"/>
              </w:tabs>
              <w:spacing w:lineRule="auto" w:line="240" w:before="0" w:after="0"/>
              <w:ind w:left="-52" w:right="-94" w:hanging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Тысяча квадратных метров общей площади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38" w:right="0" w:firstLine="4"/>
              <w:contextualSpacing/>
              <w:jc w:val="center"/>
              <w:rPr/>
            </w:pPr>
            <w:r>
              <w:rPr>
                <w:sz w:val="24"/>
                <w:szCs w:val="24"/>
              </w:rPr>
              <w:t>0,0566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65" w:right="-38" w:firstLine="5"/>
              <w:contextualSpacing/>
              <w:jc w:val="center"/>
              <w:rPr/>
            </w:pPr>
            <w:r>
              <w:rPr>
                <w:sz w:val="24"/>
                <w:szCs w:val="24"/>
              </w:rPr>
              <w:t>6,2603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0" w:right="-66" w:hanging="0"/>
              <w:contextualSpacing/>
              <w:jc w:val="center"/>
              <w:rPr/>
            </w:pPr>
            <w:r>
              <w:rPr>
                <w:sz w:val="24"/>
                <w:szCs w:val="24"/>
              </w:rPr>
              <w:t>2,8659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0" w:right="-66" w:hanging="0"/>
              <w:contextualSpacing/>
              <w:jc w:val="center"/>
              <w:rPr/>
            </w:pPr>
            <w:r>
              <w:rPr>
                <w:sz w:val="24"/>
                <w:szCs w:val="24"/>
                <w:lang w:eastAsia="ru-RU"/>
              </w:rPr>
              <w:t>5,9925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66" w:right="-80" w:hanging="0"/>
              <w:contextualSpacing/>
              <w:jc w:val="center"/>
              <w:rPr/>
            </w:pPr>
            <w:r>
              <w:rPr>
                <w:sz w:val="24"/>
                <w:szCs w:val="24"/>
                <w:lang w:eastAsia="ru-RU"/>
              </w:rPr>
              <w:t>22,064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uppressAutoHyphens w:val="false"/>
              <w:bidi w:val="0"/>
              <w:spacing w:lineRule="auto" w:line="240" w:before="0" w:after="0"/>
              <w:ind w:left="0" w:right="-113" w:hanging="0"/>
              <w:contextualSpacing/>
              <w:jc w:val="center"/>
              <w:rPr/>
            </w:pPr>
            <w:r>
              <w:rPr>
                <w:sz w:val="24"/>
                <w:szCs w:val="24"/>
              </w:rPr>
              <w:t>37,239</w:t>
            </w:r>
          </w:p>
        </w:tc>
      </w:tr>
      <w:tr>
        <w:trPr>
          <w:trHeight w:val="55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-84" w:right="-108" w:hanging="0"/>
              <w:contextualSpacing/>
              <w:jc w:val="center"/>
              <w:rPr/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contextualSpacing/>
              <w:rPr/>
            </w:pPr>
            <w:r>
              <w:rPr>
                <w:color w:val="000000"/>
                <w:sz w:val="24"/>
                <w:szCs w:val="24"/>
              </w:rPr>
              <w:t>Количество граждан, расселенных из аварийного жилищного фонда.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64" w:leader="none"/>
              </w:tabs>
              <w:spacing w:lineRule="auto" w:line="240" w:before="0" w:after="0"/>
              <w:ind w:left="-52" w:right="-94" w:hanging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Тысяча человек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left="-38" w:right="0" w:firstLine="4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left="-65" w:right="-38" w:firstLine="5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left="-80" w:right="-66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0,292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1,292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2,239»</w:t>
            </w:r>
          </w:p>
        </w:tc>
      </w:tr>
    </w:tbl>
    <w:p>
      <w:pPr>
        <w:pStyle w:val="Normal"/>
        <w:tabs>
          <w:tab w:val="clear" w:pos="708"/>
          <w:tab w:val="left" w:pos="1134" w:leader="none"/>
        </w:tabs>
        <w:bidi w:val="0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tLeast" w:line="240"/>
        <w:jc w:val="both"/>
        <w:rPr/>
      </w:pPr>
      <w:r>
        <w:rPr>
          <w:sz w:val="28"/>
          <w:szCs w:val="28"/>
        </w:rPr>
        <w:t>Начальник управления по имуществу</w:t>
      </w:r>
    </w:p>
    <w:p>
      <w:pPr>
        <w:pStyle w:val="Normal"/>
        <w:shd w:val="clear" w:color="auto" w:fill="FFFFFF"/>
        <w:spacing w:lineRule="atLeast" w:line="240"/>
        <w:jc w:val="both"/>
        <w:rPr/>
      </w:pPr>
      <w:r>
        <w:rPr>
          <w:sz w:val="28"/>
          <w:szCs w:val="28"/>
        </w:rPr>
        <w:t>и земельным отношениям администрации</w:t>
      </w:r>
    </w:p>
    <w:p>
      <w:pPr>
        <w:pStyle w:val="Normal"/>
        <w:widowControl/>
        <w:shd w:val="clear" w:color="auto" w:fill="FFFFFF"/>
        <w:bidi w:val="0"/>
        <w:spacing w:lineRule="atLeast" w:line="240"/>
        <w:ind w:left="0" w:right="0" w:hanging="0"/>
        <w:jc w:val="both"/>
        <w:rPr/>
      </w:pPr>
      <w:r>
        <w:rPr>
          <w:sz w:val="28"/>
          <w:szCs w:val="28"/>
        </w:rPr>
        <w:t>Копейского городского округа                                                                                                                                          Ж.А. Буркова</w:t>
      </w:r>
    </w:p>
    <w:sectPr>
      <w:footerReference w:type="default" r:id="rId2"/>
      <w:type w:val="nextPage"/>
      <w:pgSz w:orient="landscape" w:w="16838" w:h="11906"/>
      <w:pgMar w:left="1134" w:right="716" w:header="0" w:top="567" w:footer="0" w:bottom="993" w:gutter="0"/>
      <w:pgNumType w:fmt="decimal"/>
      <w:formProt w:val="false"/>
      <w:textDirection w:val="lrTb"/>
      <w:docGrid w:type="default" w:linePitch="381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altName w:val="MT Extra"/>
    <w:charset w:val="cc"/>
    <w:family w:val="roman"/>
    <w:pitch w:val="variable"/>
  </w:font>
  <w:font w:name="Courier New">
    <w:altName w:val="Letter Gothic"/>
    <w:charset w:val="cc"/>
    <w:family w:val="roman"/>
    <w:pitch w:val="variable"/>
  </w:font>
  <w:font w:name="Wingdings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Times New Roman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3"/>
      <w:numFmt w:val="decimal"/>
      <w:lvlText w:val="%1)"/>
      <w:lvlJc w:val="left"/>
      <w:pPr>
        <w:tabs>
          <w:tab w:val="num" w:pos="1072"/>
        </w:tabs>
        <w:ind w:left="0" w:hanging="-737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;Times New Roman" w:hAnsi="Times New Roman;Times New Roman" w:eastAsia="Times New Roman;Times New Roman" w:cs="Times New Roman;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bCs/>
      <w:sz w:val="18"/>
      <w:szCs w:val="18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0"/>
        <w:numId w:val="1"/>
      </w:numPr>
      <w:spacing w:lineRule="auto" w:line="360" w:before="240" w:after="60"/>
      <w:jc w:val="both"/>
      <w:outlineLvl w:val="0"/>
    </w:pPr>
    <w:rPr>
      <w:rFonts w:cs="Arial;Times New Roman"/>
      <w:bCs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;Times New Roman"/>
    </w:rPr>
  </w:style>
  <w:style w:type="character" w:styleId="WW8Num2z0" w:customStyle="1">
    <w:name w:val="WW8Num2z0"/>
    <w:qFormat/>
    <w:rPr>
      <w:rFonts w:ascii="Symbol;MT Extra" w:hAnsi="Symbol;MT Extra" w:cs="Symbol;MT Extra"/>
      <w:sz w:val="24"/>
      <w:szCs w:val="24"/>
    </w:rPr>
  </w:style>
  <w:style w:type="character" w:styleId="WW8Num3z0" w:customStyle="1">
    <w:name w:val="WW8Num3z0"/>
    <w:qFormat/>
    <w:rPr>
      <w:rFonts w:ascii="Symbol;MT Extra" w:hAnsi="Symbol;MT Extra" w:cs="Symbol;MT Extra"/>
      <w:color w:val="000000"/>
      <w:sz w:val="28"/>
      <w:szCs w:val="28"/>
    </w:rPr>
  </w:style>
  <w:style w:type="character" w:styleId="WW8Num4z0" w:customStyle="1">
    <w:name w:val="WW8Num4z0"/>
    <w:qFormat/>
    <w:rPr>
      <w:color w:val="000000"/>
      <w:sz w:val="28"/>
      <w:szCs w:val="28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>
      <w:rFonts w:ascii="Symbol;MT Extra" w:hAnsi="Symbol;MT Extra" w:cs="Symbol;MT Extra"/>
    </w:rPr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Symbol;MT Extra" w:hAnsi="Symbol;MT Extra" w:cs="Symbol;MT Extra"/>
    </w:rPr>
  </w:style>
  <w:style w:type="character" w:styleId="WW8Num6z1" w:customStyle="1">
    <w:name w:val="WW8Num6z1"/>
    <w:qFormat/>
    <w:rPr>
      <w:rFonts w:ascii="Courier New;Letter Gothic" w:hAnsi="Courier New;Letter Gothic" w:cs="Courier New;Letter Gothic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;MT Extra" w:hAnsi="Symbol;MT Extra" w:cs="Symbol;MT Extra"/>
    </w:rPr>
  </w:style>
  <w:style w:type="character" w:styleId="WW8Num7z1" w:customStyle="1">
    <w:name w:val="WW8Num7z1"/>
    <w:qFormat/>
    <w:rPr>
      <w:rFonts w:ascii="Courier New;Letter Gothic" w:hAnsi="Courier New;Letter Gothic" w:cs="Courier New;Letter Gothic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11" w:customStyle="1">
    <w:name w:val="Заголовок 1 Знак"/>
    <w:qFormat/>
    <w:rPr>
      <w:b/>
      <w:bCs/>
      <w:sz w:val="18"/>
      <w:szCs w:val="18"/>
      <w:lang w:val="ru-RU" w:bidi="ar-SA"/>
    </w:rPr>
  </w:style>
  <w:style w:type="character" w:styleId="21" w:customStyle="1">
    <w:name w:val="Заголовок 2 Знак"/>
    <w:qFormat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styleId="31" w:customStyle="1">
    <w:name w:val="Заголовок 3 Знак"/>
    <w:qFormat/>
    <w:rPr>
      <w:rFonts w:cs="Arial;Times New Roman"/>
      <w:bCs/>
      <w:sz w:val="28"/>
      <w:szCs w:val="26"/>
    </w:rPr>
  </w:style>
  <w:style w:type="character" w:styleId="313" w:customStyle="1">
    <w:name w:val="Стиль Заголовок 3 + 13 пт Знак"/>
    <w:qFormat/>
    <w:rPr>
      <w:rFonts w:cs="Arial;Times New Roman"/>
      <w:bCs w:val="false"/>
      <w:sz w:val="28"/>
      <w:szCs w:val="26"/>
    </w:rPr>
  </w:style>
  <w:style w:type="character" w:styleId="22" w:customStyle="1">
    <w:name w:val="Основной текст 2 Знак"/>
    <w:qFormat/>
    <w:rPr>
      <w:sz w:val="24"/>
      <w:szCs w:val="24"/>
      <w:lang w:val="ru-RU" w:bidi="ar-SA"/>
    </w:rPr>
  </w:style>
  <w:style w:type="character" w:styleId="Style11" w:customStyle="1">
    <w:name w:val="Верхний колонтитул Знак"/>
    <w:qFormat/>
    <w:rPr>
      <w:rFonts w:ascii="Calibri" w:hAnsi="Calibri" w:cs="Calibri"/>
      <w:sz w:val="22"/>
      <w:szCs w:val="22"/>
      <w:lang w:val="ru-RU" w:bidi="ar-SA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styleId="Pagenumber">
    <w:name w:val="page number"/>
    <w:basedOn w:val="DefaultParagraphFont"/>
    <w:qFormat/>
    <w:rPr/>
  </w:style>
  <w:style w:type="character" w:styleId="Style13" w:customStyle="1">
    <w:name w:val="Нижний колонтитул Знак"/>
    <w:qFormat/>
    <w:rPr>
      <w:sz w:val="24"/>
      <w:szCs w:val="24"/>
    </w:rPr>
  </w:style>
  <w:style w:type="character" w:styleId="Style14">
    <w:name w:val="Выделение"/>
    <w:qFormat/>
    <w:rPr>
      <w:i/>
      <w:iCs/>
    </w:rPr>
  </w:style>
  <w:style w:type="character" w:styleId="Style15" w:customStyle="1">
    <w:name w:val="Интернет-ссылка"/>
    <w:rPr>
      <w:color w:val="000080"/>
      <w:u w:val="single"/>
    </w:rPr>
  </w:style>
  <w:style w:type="character" w:styleId="ListLabel1" w:customStyle="1">
    <w:name w:val="ListLabel 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" w:customStyle="1">
    <w:name w:val="ListLabel 2"/>
    <w:qFormat/>
    <w:rPr>
      <w:color w:val="000000"/>
      <w:sz w:val="28"/>
      <w:szCs w:val="28"/>
    </w:rPr>
  </w:style>
  <w:style w:type="character" w:styleId="ListLabel3" w:customStyle="1">
    <w:name w:val="ListLabel 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" w:customStyle="1">
    <w:name w:val="ListLabel 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" w:customStyle="1">
    <w:name w:val="ListLabel 5"/>
    <w:qFormat/>
    <w:rPr>
      <w:color w:val="000000"/>
      <w:sz w:val="28"/>
      <w:szCs w:val="28"/>
    </w:rPr>
  </w:style>
  <w:style w:type="character" w:styleId="ListLabel6" w:customStyle="1">
    <w:name w:val="ListLabel 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7" w:customStyle="1">
    <w:name w:val="ListLabel 7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8" w:customStyle="1">
    <w:name w:val="ListLabel 8"/>
    <w:qFormat/>
    <w:rPr>
      <w:color w:val="000000"/>
      <w:sz w:val="28"/>
      <w:szCs w:val="28"/>
    </w:rPr>
  </w:style>
  <w:style w:type="character" w:styleId="ListLabel9" w:customStyle="1">
    <w:name w:val="ListLabel 9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10" w:customStyle="1">
    <w:name w:val="ListLabel 10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11" w:customStyle="1">
    <w:name w:val="ListLabel 11"/>
    <w:qFormat/>
    <w:rPr>
      <w:color w:val="000000"/>
      <w:sz w:val="28"/>
      <w:szCs w:val="28"/>
    </w:rPr>
  </w:style>
  <w:style w:type="character" w:styleId="ListLabel12" w:customStyle="1">
    <w:name w:val="ListLabel 12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13" w:customStyle="1">
    <w:name w:val="ListLabel 13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14" w:customStyle="1">
    <w:name w:val="ListLabel 14"/>
    <w:qFormat/>
    <w:rPr>
      <w:color w:val="000000"/>
      <w:sz w:val="28"/>
      <w:szCs w:val="28"/>
    </w:rPr>
  </w:style>
  <w:style w:type="character" w:styleId="ListLabel15" w:customStyle="1">
    <w:name w:val="ListLabel 15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16">
    <w:name w:val="ListLabel 16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17">
    <w:name w:val="ListLabel 17"/>
    <w:qFormat/>
    <w:rPr>
      <w:color w:val="000000"/>
      <w:sz w:val="28"/>
      <w:szCs w:val="28"/>
    </w:rPr>
  </w:style>
  <w:style w:type="character" w:styleId="ListLabel18">
    <w:name w:val="ListLabel 18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19">
    <w:name w:val="ListLabel 19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0">
    <w:name w:val="ListLabel 20"/>
    <w:qFormat/>
    <w:rPr>
      <w:color w:val="000000"/>
      <w:sz w:val="28"/>
      <w:szCs w:val="28"/>
    </w:rPr>
  </w:style>
  <w:style w:type="character" w:styleId="ListLabel21">
    <w:name w:val="ListLabel 21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22">
    <w:name w:val="ListLabel 22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3">
    <w:name w:val="ListLabel 23"/>
    <w:qFormat/>
    <w:rPr>
      <w:color w:val="000000"/>
      <w:sz w:val="28"/>
      <w:szCs w:val="28"/>
    </w:rPr>
  </w:style>
  <w:style w:type="character" w:styleId="ListLabel24">
    <w:name w:val="ListLabel 24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25">
    <w:name w:val="ListLabel 25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6">
    <w:name w:val="ListLabel 26"/>
    <w:qFormat/>
    <w:rPr>
      <w:color w:val="000000"/>
      <w:sz w:val="28"/>
      <w:szCs w:val="28"/>
    </w:rPr>
  </w:style>
  <w:style w:type="character" w:styleId="ListLabel27">
    <w:name w:val="ListLabel 27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28">
    <w:name w:val="ListLabel 28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9">
    <w:name w:val="ListLabel 29"/>
    <w:qFormat/>
    <w:rPr>
      <w:color w:val="000000"/>
      <w:sz w:val="28"/>
      <w:szCs w:val="28"/>
    </w:rPr>
  </w:style>
  <w:style w:type="character" w:styleId="ListLabel30">
    <w:name w:val="ListLabel 30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31">
    <w:name w:val="ListLabel 3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32">
    <w:name w:val="ListLabel 32"/>
    <w:qFormat/>
    <w:rPr>
      <w:color w:val="000000"/>
      <w:sz w:val="28"/>
      <w:szCs w:val="28"/>
    </w:rPr>
  </w:style>
  <w:style w:type="character" w:styleId="ListLabel33">
    <w:name w:val="ListLabel 3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34">
    <w:name w:val="ListLabel 3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35">
    <w:name w:val="ListLabel 35"/>
    <w:qFormat/>
    <w:rPr>
      <w:color w:val="000000"/>
      <w:sz w:val="28"/>
      <w:szCs w:val="28"/>
    </w:rPr>
  </w:style>
  <w:style w:type="character" w:styleId="ListLabel36">
    <w:name w:val="ListLabel 3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37">
    <w:name w:val="ListLabel 37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38">
    <w:name w:val="ListLabel 38"/>
    <w:qFormat/>
    <w:rPr>
      <w:color w:val="000000"/>
      <w:sz w:val="28"/>
      <w:szCs w:val="28"/>
    </w:rPr>
  </w:style>
  <w:style w:type="character" w:styleId="ListLabel39">
    <w:name w:val="ListLabel 39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0">
    <w:name w:val="ListLabel 40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41">
    <w:name w:val="ListLabel 41"/>
    <w:qFormat/>
    <w:rPr>
      <w:color w:val="000000"/>
      <w:sz w:val="28"/>
      <w:szCs w:val="28"/>
    </w:rPr>
  </w:style>
  <w:style w:type="character" w:styleId="ListLabel42">
    <w:name w:val="ListLabel 42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3">
    <w:name w:val="ListLabel 43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44">
    <w:name w:val="ListLabel 44"/>
    <w:qFormat/>
    <w:rPr>
      <w:color w:val="000000"/>
      <w:sz w:val="28"/>
      <w:szCs w:val="28"/>
    </w:rPr>
  </w:style>
  <w:style w:type="character" w:styleId="ListLabel45">
    <w:name w:val="ListLabel 45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6">
    <w:name w:val="ListLabel 46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47">
    <w:name w:val="ListLabel 47"/>
    <w:qFormat/>
    <w:rPr>
      <w:color w:val="000000"/>
      <w:sz w:val="28"/>
      <w:szCs w:val="28"/>
    </w:rPr>
  </w:style>
  <w:style w:type="character" w:styleId="ListLabel48">
    <w:name w:val="ListLabel 48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9">
    <w:name w:val="ListLabel 49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0">
    <w:name w:val="ListLabel 50"/>
    <w:qFormat/>
    <w:rPr>
      <w:color w:val="000000"/>
      <w:sz w:val="28"/>
      <w:szCs w:val="28"/>
    </w:rPr>
  </w:style>
  <w:style w:type="character" w:styleId="ListLabel51">
    <w:name w:val="ListLabel 51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52">
    <w:name w:val="ListLabel 52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3">
    <w:name w:val="ListLabel 53"/>
    <w:qFormat/>
    <w:rPr>
      <w:color w:val="000000"/>
      <w:sz w:val="28"/>
      <w:szCs w:val="28"/>
    </w:rPr>
  </w:style>
  <w:style w:type="character" w:styleId="ListLabel54">
    <w:name w:val="ListLabel 54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55">
    <w:name w:val="ListLabel 55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6">
    <w:name w:val="ListLabel 56"/>
    <w:qFormat/>
    <w:rPr>
      <w:color w:val="000000"/>
      <w:sz w:val="28"/>
      <w:szCs w:val="28"/>
    </w:rPr>
  </w:style>
  <w:style w:type="character" w:styleId="ListLabel57">
    <w:name w:val="ListLabel 57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58">
    <w:name w:val="ListLabel 58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9">
    <w:name w:val="ListLabel 59"/>
    <w:qFormat/>
    <w:rPr>
      <w:color w:val="000000"/>
      <w:sz w:val="28"/>
      <w:szCs w:val="28"/>
    </w:rPr>
  </w:style>
  <w:style w:type="character" w:styleId="ListLabel60">
    <w:name w:val="ListLabel 60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61">
    <w:name w:val="ListLabel 6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62">
    <w:name w:val="ListLabel 62"/>
    <w:qFormat/>
    <w:rPr>
      <w:color w:val="000000"/>
      <w:sz w:val="28"/>
      <w:szCs w:val="28"/>
    </w:rPr>
  </w:style>
  <w:style w:type="character" w:styleId="ListLabel63">
    <w:name w:val="ListLabel 6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64">
    <w:name w:val="ListLabel 6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65">
    <w:name w:val="ListLabel 65"/>
    <w:qFormat/>
    <w:rPr>
      <w:color w:val="000000"/>
      <w:sz w:val="28"/>
      <w:szCs w:val="28"/>
    </w:rPr>
  </w:style>
  <w:style w:type="character" w:styleId="ListLabel66">
    <w:name w:val="ListLabel 6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560">
    <w:name w:val="ListLabel 560"/>
    <w:qFormat/>
    <w:rPr>
      <w:rFonts w:ascii="Times New Roman" w:hAnsi="Times New Roman" w:eastAsia="Times New Roman" w:cs="Times New Roman"/>
      <w:sz w:val="28"/>
    </w:rPr>
  </w:style>
  <w:style w:type="character" w:styleId="ListLabel561">
    <w:name w:val="ListLabel 561"/>
    <w:qFormat/>
    <w:rPr>
      <w:rFonts w:ascii="Times New Roman" w:hAnsi="Times New Roman" w:eastAsia="Times New Roman" w:cs="Times New Roman"/>
      <w:sz w:val="28"/>
    </w:rPr>
  </w:style>
  <w:style w:type="character" w:styleId="ListLabel562">
    <w:name w:val="ListLabel 562"/>
    <w:qFormat/>
    <w:rPr>
      <w:rFonts w:eastAsia="Times New Roman" w:cs="Times New Roman"/>
    </w:rPr>
  </w:style>
  <w:style w:type="character" w:styleId="ListLabel563">
    <w:name w:val="ListLabel 563"/>
    <w:qFormat/>
    <w:rPr>
      <w:rFonts w:eastAsia="Times New Roman" w:cs="Times New Roman"/>
    </w:rPr>
  </w:style>
  <w:style w:type="character" w:styleId="ListLabel564">
    <w:name w:val="ListLabel 564"/>
    <w:qFormat/>
    <w:rPr>
      <w:rFonts w:eastAsia="Times New Roman" w:cs="Times New Roman"/>
    </w:rPr>
  </w:style>
  <w:style w:type="character" w:styleId="ListLabel565">
    <w:name w:val="ListLabel 565"/>
    <w:qFormat/>
    <w:rPr>
      <w:rFonts w:eastAsia="Times New Roman" w:cs="Times New Roman"/>
    </w:rPr>
  </w:style>
  <w:style w:type="character" w:styleId="ListLabel566">
    <w:name w:val="ListLabel 566"/>
    <w:qFormat/>
    <w:rPr>
      <w:rFonts w:eastAsia="Times New Roman" w:cs="Times New Roman"/>
    </w:rPr>
  </w:style>
  <w:style w:type="character" w:styleId="ListLabel567">
    <w:name w:val="ListLabel 567"/>
    <w:qFormat/>
    <w:rPr>
      <w:rFonts w:eastAsia="Times New Roman" w:cs="Times New Roman"/>
    </w:rPr>
  </w:style>
  <w:style w:type="character" w:styleId="ListLabel568">
    <w:name w:val="ListLabel 568"/>
    <w:qFormat/>
    <w:rPr>
      <w:rFonts w:eastAsia="Times New Roman" w:cs="Times New Roman"/>
    </w:rPr>
  </w:style>
  <w:style w:type="character" w:styleId="ListLabel569">
    <w:name w:val="ListLabel 569"/>
    <w:qFormat/>
    <w:rPr>
      <w:rFonts w:eastAsia="Times New Roman" w:cs="Times New Roman"/>
      <w:sz w:val="28"/>
    </w:rPr>
  </w:style>
  <w:style w:type="character" w:styleId="ListLabel570">
    <w:name w:val="ListLabel 570"/>
    <w:qFormat/>
    <w:rPr>
      <w:rFonts w:eastAsia="Times New Roman" w:cs="Times New Roman"/>
      <w:sz w:val="28"/>
    </w:rPr>
  </w:style>
  <w:style w:type="character" w:styleId="ListLabel571">
    <w:name w:val="ListLabel 571"/>
    <w:qFormat/>
    <w:rPr>
      <w:rFonts w:eastAsia="Times New Roman" w:cs="Times New Roman"/>
    </w:rPr>
  </w:style>
  <w:style w:type="character" w:styleId="ListLabel572">
    <w:name w:val="ListLabel 572"/>
    <w:qFormat/>
    <w:rPr>
      <w:rFonts w:eastAsia="Times New Roman" w:cs="Times New Roman"/>
    </w:rPr>
  </w:style>
  <w:style w:type="character" w:styleId="ListLabel573">
    <w:name w:val="ListLabel 573"/>
    <w:qFormat/>
    <w:rPr>
      <w:rFonts w:eastAsia="Times New Roman" w:cs="Times New Roman"/>
    </w:rPr>
  </w:style>
  <w:style w:type="character" w:styleId="ListLabel574">
    <w:name w:val="ListLabel 574"/>
    <w:qFormat/>
    <w:rPr>
      <w:rFonts w:eastAsia="Times New Roman" w:cs="Times New Roman"/>
    </w:rPr>
  </w:style>
  <w:style w:type="character" w:styleId="ListLabel575">
    <w:name w:val="ListLabel 575"/>
    <w:qFormat/>
    <w:rPr>
      <w:rFonts w:eastAsia="Times New Roman" w:cs="Times New Roman"/>
    </w:rPr>
  </w:style>
  <w:style w:type="character" w:styleId="ListLabel576">
    <w:name w:val="ListLabel 576"/>
    <w:qFormat/>
    <w:rPr>
      <w:rFonts w:eastAsia="Times New Roman" w:cs="Times New Roman"/>
    </w:rPr>
  </w:style>
  <w:style w:type="character" w:styleId="ListLabel577">
    <w:name w:val="ListLabel 577"/>
    <w:qFormat/>
    <w:rPr>
      <w:rFonts w:eastAsia="Times New Roman" w:cs="Times New Roman"/>
    </w:rPr>
  </w:style>
  <w:style w:type="paragraph" w:styleId="Style16" w:customStyle="1">
    <w:name w:val="Заголовок"/>
    <w:basedOn w:val="Normal"/>
    <w:next w:val="Style17"/>
    <w:qFormat/>
    <w:pPr>
      <w:jc w:val="center"/>
    </w:pPr>
    <w:rPr>
      <w:b/>
      <w:bCs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3131" w:customStyle="1">
    <w:name w:val="Стиль Заголовок 3 + 13 пт"/>
    <w:basedOn w:val="3"/>
    <w:qFormat/>
    <w:pPr>
      <w:numPr>
        <w:ilvl w:val="0"/>
        <w:numId w:val="0"/>
      </w:numPr>
    </w:pPr>
    <w:rPr>
      <w:bCs w:val="false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Title" w:customStyle="1">
    <w:name w:val="ConsPlusTitle"/>
    <w:qFormat/>
    <w:pPr>
      <w:widowControl w:val="false"/>
      <w:bidi w:val="0"/>
      <w:jc w:val="left"/>
    </w:pPr>
    <w:rPr>
      <w:rFonts w:ascii="Arial;Times New Roman" w:hAnsi="Arial;Times New Roman" w:eastAsia="Times New Roman;Times New Roman" w:cs="Arial;Times New Roman"/>
      <w:b/>
      <w:bCs/>
      <w:color w:val="auto"/>
      <w:kern w:val="0"/>
      <w:sz w:val="24"/>
      <w:szCs w:val="20"/>
      <w:lang w:val="ru-RU" w:eastAsia="zh-CN" w:bidi="ar-SA"/>
    </w:rPr>
  </w:style>
  <w:style w:type="paragraph" w:styleId="ListParagraph">
    <w:name w:val="List Paragraph"/>
    <w:basedOn w:val="Normal"/>
    <w:qFormat/>
    <w:pPr>
      <w:spacing w:lineRule="auto" w:line="240" w:before="0" w:after="200"/>
      <w:ind w:left="680" w:right="0" w:hanging="0"/>
      <w:contextualSpacing/>
    </w:pPr>
    <w:rPr>
      <w:rFonts w:ascii="Calibri" w:hAnsi="Calibri" w:cs="Calibri"/>
      <w:sz w:val="22"/>
      <w:szCs w:val="22"/>
    </w:rPr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2" w:customStyle="1">
    <w:name w:val="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eastAsia="Calibri"/>
      <w:sz w:val="20"/>
      <w:szCs w:val="20"/>
    </w:rPr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napToGrid w:val="false"/>
      <w:jc w:val="left"/>
    </w:pPr>
    <w:rPr>
      <w:rFonts w:ascii="Courier New;Letter Gothic" w:hAnsi="Courier New;Letter Gothic" w:eastAsia="Times New Roman;Times New Roman" w:cs="Courier New;Letter Gothic"/>
      <w:color w:val="auto"/>
      <w:kern w:val="0"/>
      <w:sz w:val="24"/>
      <w:szCs w:val="20"/>
      <w:lang w:val="ru-RU" w:eastAsia="zh-CN" w:bidi="ar-SA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ConsPlusNormal">
    <w:name w:val="ConsPlusNormal"/>
    <w:qFormat/>
    <w:pPr>
      <w:widowControl/>
      <w:suppressAutoHyphens w:val="true"/>
      <w:bidi w:val="0"/>
      <w:jc w:val="left"/>
      <w:textAlignment w:val="auto"/>
    </w:pPr>
    <w:rPr>
      <w:rFonts w:ascii="Arial" w:hAnsi="Arial" w:eastAsia="Times New Roman" w:cs="Liberation Serif"/>
      <w:color w:val="000000"/>
      <w:kern w:val="2"/>
      <w:sz w:val="20"/>
      <w:szCs w:val="20"/>
      <w:lang w:val="ru-RU" w:eastAsia="ru-RU" w:bidi="hi-IN"/>
    </w:rPr>
  </w:style>
  <w:style w:type="paragraph" w:styleId="C7e0e3eeebeee2eeea1">
    <w:name w:val="Зc7аe0гe3оeeлebоeeвe2оeeкea 1"/>
    <w:basedOn w:val="Normal"/>
    <w:qFormat/>
    <w:pPr>
      <w:keepNext w:val="true"/>
      <w:keepLines/>
      <w:widowControl/>
      <w:tabs>
        <w:tab w:val="clear" w:pos="708"/>
        <w:tab w:val="left" w:pos="0" w:leader="none"/>
      </w:tabs>
      <w:suppressAutoHyphens w:val="true"/>
      <w:spacing w:lineRule="auto" w:line="276"/>
      <w:jc w:val="center"/>
      <w:textAlignment w:val="auto"/>
    </w:pPr>
    <w:rPr>
      <w:rFonts w:ascii="Times New Roman" w:hAnsi="Times New Roman" w:eastAsia="Times New Roman" w:cs="Liberation Serif"/>
      <w:b/>
      <w:bCs/>
      <w:color w:val="365F91"/>
      <w:kern w:val="2"/>
      <w:sz w:val="28"/>
      <w:szCs w:val="28"/>
      <w:lang w:val="ru-RU" w:eastAsia="zh-CN" w:bidi="ar-SA"/>
    </w:rPr>
  </w:style>
  <w:style w:type="paragraph" w:styleId="23">
    <w:name w:val="Стиль2"/>
    <w:basedOn w:val="Normal"/>
    <w:qFormat/>
    <w:pPr>
      <w:spacing w:lineRule="auto" w:line="240" w:before="0" w:after="0"/>
      <w:ind w:left="0" w:right="0" w:firstLine="708"/>
      <w:jc w:val="both"/>
    </w:pPr>
    <w:rPr>
      <w:sz w:val="24"/>
      <w:szCs w:val="24"/>
    </w:rPr>
  </w:style>
  <w:style w:type="paragraph" w:styleId="Style27">
    <w:name w:val="Нормальный (таблица)"/>
    <w:basedOn w:val="Normal"/>
    <w:next w:val="Normal"/>
    <w:qFormat/>
    <w:pPr>
      <w:widowControl w:val="false"/>
      <w:suppressAutoHyphens w:val="false"/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28">
    <w:name w:val="Прижатый влево"/>
    <w:basedOn w:val="Normal"/>
    <w:next w:val="Normal"/>
    <w:qFormat/>
    <w:pPr>
      <w:widowControl w:val="false"/>
      <w:suppressAutoHyphens w:val="false"/>
      <w:spacing w:lineRule="auto" w:line="240" w:before="0" w:after="0"/>
    </w:pPr>
    <w:rPr>
      <w:rFonts w:ascii="Arial" w:hAnsi="Arial" w:cs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Application>LibreOffice/6.1.4.2$Windows_X86_64 LibreOffice_project/9d0f32d1f0b509096fd65e0d4bec26ddd1938fd3</Application>
  <Pages>5</Pages>
  <Words>1050</Words>
  <Characters>6762</Characters>
  <CharactersWithSpaces>7815</CharactersWithSpaces>
  <Paragraphs>261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2019-10-25T09:15:00Z</dcterms:created>
  <dc:creator>Финансы</dc:creator>
  <dc:description/>
  <dc:language>ru-RU</dc:language>
  <cp:lastModifiedBy/>
  <cp:lastPrinted>2023-01-10T11:46:56Z</cp:lastPrinted>
  <dcterms:modified xsi:type="dcterms:W3CDTF">2023-01-10T11:48:45Z</dcterms:modified>
  <cp:revision>108</cp:revision>
  <dc:subject/>
  <dc:title>Утверждена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