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tabs>
          <w:tab w:val="left" w:pos="7020"/>
          <w:tab w:val="left" w:pos="10080"/>
        </w:tabs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 проекту муниципальной программы </w:t>
      </w:r>
      <w:r>
        <w:rPr>
          <w:rFonts w:eastAsia="Times New Roman"/>
          <w:b/>
          <w:sz w:val="28"/>
          <w:szCs w:val="28"/>
          <w:lang w:eastAsia="zh-CN"/>
        </w:rPr>
        <w:t>«Благоустройство городской среды Копейского городского округа»</w:t>
      </w:r>
    </w:p>
    <w:p>
      <w:pPr>
        <w:pStyle w:val="54"/>
        <w:widowControl w:val="0"/>
        <w:tabs>
          <w:tab w:val="left" w:pos="1134"/>
        </w:tabs>
        <w:spacing w:line="276" w:lineRule="auto"/>
        <w:ind w:left="0"/>
        <w:jc w:val="center"/>
        <w:rPr>
          <w:sz w:val="28"/>
          <w:szCs w:val="28"/>
        </w:rPr>
      </w:pPr>
    </w:p>
    <w:p>
      <w:pPr>
        <w:tabs>
          <w:tab w:val="left" w:pos="7020"/>
          <w:tab w:val="left" w:pos="10080"/>
        </w:tabs>
        <w:spacing w:line="276" w:lineRule="auto"/>
        <w:ind w:firstLine="794"/>
        <w:jc w:val="both"/>
      </w:pPr>
      <w:r>
        <w:rPr>
          <w:sz w:val="28"/>
          <w:szCs w:val="28"/>
        </w:rPr>
        <w:t xml:space="preserve">Муниципальная программа </w:t>
      </w:r>
      <w:r>
        <w:rPr>
          <w:rFonts w:eastAsia="Times New Roman"/>
          <w:sz w:val="28"/>
          <w:szCs w:val="28"/>
          <w:lang w:eastAsia="zh-CN"/>
        </w:rPr>
        <w:t xml:space="preserve">«Благоустройство городской среды Копейского городского округа» </w:t>
      </w:r>
      <w:r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разрабатывалась в соответствии с: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статьей 179 Бюджетного кодекса Российской Федерации;</w:t>
      </w:r>
    </w:p>
    <w:p>
      <w:pPr>
        <w:spacing w:line="276" w:lineRule="auto"/>
        <w:ind w:firstLine="709"/>
        <w:jc w:val="both"/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</w:t>
      </w:r>
      <w:r>
        <w:fldChar w:fldCharType="begin"/>
      </w:r>
      <w:r>
        <w:instrText xml:space="preserve"> HYPERLINK \l "Par28" \t "Ссылка на текущий документ" \h </w:instrText>
      </w:r>
      <w:r>
        <w:fldChar w:fldCharType="separate"/>
      </w:r>
      <w:r>
        <w:rPr>
          <w:rStyle w:val="3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порядком</w:t>
      </w:r>
      <w:r>
        <w:rPr>
          <w:rStyle w:val="3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№1613-п от 22.07.2020 «Об утверждении Порядка принятия решений о разработке, формировании и реализации муниципальных программ, а также Порядка проведения оценки эффективности реализации муниципальных программ Копейского городского округа».</w:t>
      </w:r>
    </w:p>
    <w:p>
      <w:pPr>
        <w:ind w:firstLine="709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20"/>
          <w:tab w:val="left" w:pos="10080"/>
        </w:tabs>
        <w:jc w:val="center"/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Дополнительные и обосновывающие материалы к проекту муниципальной программы </w:t>
      </w:r>
      <w:r>
        <w:rPr>
          <w:rFonts w:eastAsia="Times New Roman"/>
          <w:b/>
          <w:sz w:val="28"/>
          <w:szCs w:val="28"/>
          <w:lang w:eastAsia="zh-CN"/>
        </w:rPr>
        <w:t>«Благоустройство городской среды Копейского городского округа»</w:t>
      </w:r>
    </w:p>
    <w:p>
      <w:pPr>
        <w:ind w:firstLine="709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709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Раздел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Ресурсное обеспечение муниципальной программы</w:t>
      </w:r>
    </w:p>
    <w:p>
      <w:pPr>
        <w:spacing w:line="276" w:lineRule="auto"/>
        <w:ind w:firstLine="709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540"/>
        <w:jc w:val="both"/>
      </w:pPr>
      <w:r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на </w:t>
      </w:r>
      <w:r>
        <w:rPr>
          <w:color w:val="1C1C1C"/>
          <w:sz w:val="28"/>
          <w:szCs w:val="28"/>
        </w:rPr>
        <w:t>повышение уровня благоустройства дворовых территорий городского округа;</w:t>
      </w:r>
      <w:r>
        <w:t xml:space="preserve"> </w:t>
      </w:r>
      <w:r>
        <w:rPr>
          <w:bCs/>
          <w:color w:val="1C1C1C"/>
          <w:sz w:val="28"/>
          <w:szCs w:val="28"/>
        </w:rPr>
        <w:t>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округа.</w:t>
      </w:r>
    </w:p>
    <w:p>
      <w:pPr>
        <w:tabs>
          <w:tab w:val="left" w:pos="7230"/>
        </w:tabs>
        <w:spacing w:line="276" w:lineRule="auto"/>
        <w:ind w:firstLine="720"/>
        <w:jc w:val="both"/>
      </w:pPr>
      <w:r>
        <w:rPr>
          <w:sz w:val="28"/>
          <w:szCs w:val="28"/>
        </w:rPr>
        <w:t>Финансирование муниципальной программы осуществляется за счет местных, областных и федеральных средств.</w:t>
      </w:r>
    </w:p>
    <w:p>
      <w:pPr>
        <w:tabs>
          <w:tab w:val="left" w:pos="723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мероприятия и объемы финансирования муниципальной программы уточняются в течение трех месяцев со дня принятия бюджета городского округа на соответствующий финансовый год и могут корректироваться в процессе реализации муниципальной программы.</w:t>
      </w:r>
    </w:p>
    <w:p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>
      <w:pPr>
        <w:tabs>
          <w:tab w:val="left" w:pos="7230"/>
        </w:tabs>
        <w:ind w:firstLine="720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>
      <w:pPr>
        <w:pStyle w:val="56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1</w:t>
      </w:r>
    </w:p>
    <w:tbl>
      <w:tblPr>
        <w:tblStyle w:val="20"/>
        <w:tblW w:w="9724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5"/>
        <w:gridCol w:w="4116"/>
        <w:gridCol w:w="4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25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56"/>
              <w:jc w:val="center"/>
            </w:pPr>
            <w:r>
              <w:rPr>
                <w:b/>
                <w:lang w:bidi="ru-RU"/>
              </w:rPr>
              <w:t>№ п/п</w:t>
            </w:r>
          </w:p>
        </w:tc>
        <w:tc>
          <w:tcPr>
            <w:tcW w:w="4116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56"/>
              <w:jc w:val="center"/>
            </w:pPr>
            <w:r>
              <w:rPr>
                <w:b/>
                <w:lang w:bidi="ru-RU"/>
              </w:rPr>
              <w:t>Описание рисков</w:t>
            </w:r>
          </w:p>
        </w:tc>
        <w:tc>
          <w:tcPr>
            <w:tcW w:w="478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56"/>
              <w:jc w:val="center"/>
            </w:pPr>
            <w:r>
              <w:rPr>
                <w:b/>
                <w:lang w:bidi="ru-RU"/>
              </w:rPr>
              <w:t>Меры управления рисками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25" w:type="dxa"/>
            <w:shd w:val="clear" w:color="auto" w:fill="auto"/>
            <w:tcMar>
              <w:left w:w="103" w:type="dxa"/>
            </w:tcMar>
          </w:tcPr>
          <w:p>
            <w:pPr>
              <w:pStyle w:val="56"/>
              <w:jc w:val="center"/>
            </w:pPr>
            <w:r>
              <w:rPr>
                <w:lang w:bidi="ru-RU"/>
              </w:rPr>
              <w:t>1.</w:t>
            </w:r>
          </w:p>
        </w:tc>
        <w:tc>
          <w:tcPr>
            <w:tcW w:w="4116" w:type="dxa"/>
            <w:shd w:val="clear" w:color="auto" w:fill="auto"/>
            <w:tcMar>
              <w:left w:w="103" w:type="dxa"/>
            </w:tcMar>
          </w:tcPr>
          <w:p>
            <w:pPr>
              <w:pStyle w:val="56"/>
            </w:pPr>
            <w:r>
              <w:rPr>
                <w:lang w:bidi="ru-RU"/>
              </w:rPr>
              <w:t>Финансовый риск,</w:t>
            </w:r>
            <w:r>
              <w:rPr>
                <w:bCs/>
              </w:rPr>
              <w:t xml:space="preserve"> связанный с отсутствием финансирования либо недофинансированием программных мероприятий</w:t>
            </w:r>
          </w:p>
        </w:tc>
        <w:tc>
          <w:tcPr>
            <w:tcW w:w="4783" w:type="dxa"/>
            <w:shd w:val="clear" w:color="auto" w:fill="auto"/>
            <w:tcMar>
              <w:left w:w="103" w:type="dxa"/>
            </w:tcMar>
          </w:tcPr>
          <w:p>
            <w:pPr>
              <w:pStyle w:val="56"/>
            </w:pPr>
            <w:r>
              <w:rPr>
                <w:bCs/>
              </w:rPr>
              <w:t>- ежегодное уточнение объема финансовых средств исходя из возможностей бюджета города и в зависимости от достигнутых результатов;</w:t>
            </w:r>
          </w:p>
          <w:p>
            <w:pPr>
              <w:pStyle w:val="56"/>
            </w:pPr>
            <w:r>
              <w:rPr>
                <w:bCs/>
              </w:rPr>
              <w:t>- определение наиболее значимых мероприятий для первоочередного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25" w:type="dxa"/>
            <w:shd w:val="clear" w:color="auto" w:fill="auto"/>
            <w:tcMar>
              <w:left w:w="103" w:type="dxa"/>
            </w:tcMar>
          </w:tcPr>
          <w:p>
            <w:pPr>
              <w:pStyle w:val="56"/>
              <w:jc w:val="center"/>
            </w:pPr>
            <w:r>
              <w:rPr>
                <w:lang w:bidi="ru-RU"/>
              </w:rPr>
              <w:t>2.</w:t>
            </w:r>
          </w:p>
        </w:tc>
        <w:tc>
          <w:tcPr>
            <w:tcW w:w="4116" w:type="dxa"/>
            <w:shd w:val="clear" w:color="auto" w:fill="auto"/>
            <w:tcMar>
              <w:left w:w="103" w:type="dxa"/>
            </w:tcMar>
          </w:tcPr>
          <w:p>
            <w:pPr>
              <w:pStyle w:val="56"/>
            </w:pPr>
            <w:r>
              <w:rPr>
                <w:bCs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3" w:type="dxa"/>
            <w:shd w:val="clear" w:color="auto" w:fill="auto"/>
            <w:tcMar>
              <w:left w:w="103" w:type="dxa"/>
            </w:tcMar>
          </w:tcPr>
          <w:p>
            <w:pPr>
              <w:pStyle w:val="56"/>
            </w:pPr>
            <w:r>
              <w:rPr>
                <w:lang w:bidi="ru-RU"/>
              </w:rPr>
              <w:t xml:space="preserve">- </w:t>
            </w:r>
            <w:r>
              <w:rPr>
                <w:bCs/>
              </w:rPr>
              <w:t>мониторинг реализации муниципальной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825" w:type="dxa"/>
            <w:shd w:val="clear" w:color="auto" w:fill="auto"/>
            <w:tcMar>
              <w:left w:w="103" w:type="dxa"/>
            </w:tcMar>
          </w:tcPr>
          <w:p>
            <w:pPr>
              <w:pStyle w:val="56"/>
              <w:jc w:val="center"/>
            </w:pPr>
            <w:r>
              <w:rPr>
                <w:lang w:bidi="ru-RU"/>
              </w:rPr>
              <w:t>3.</w:t>
            </w:r>
          </w:p>
        </w:tc>
        <w:tc>
          <w:tcPr>
            <w:tcW w:w="4116" w:type="dxa"/>
            <w:shd w:val="clear" w:color="auto" w:fill="auto"/>
            <w:tcMar>
              <w:left w:w="103" w:type="dxa"/>
            </w:tcMar>
          </w:tcPr>
          <w:p>
            <w:pPr>
              <w:pStyle w:val="56"/>
            </w:pPr>
            <w:r>
              <w:rPr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3" w:type="dxa"/>
            <w:shd w:val="clear" w:color="auto" w:fill="auto"/>
            <w:tcMar>
              <w:left w:w="103" w:type="dxa"/>
            </w:tcMar>
          </w:tcPr>
          <w:p>
            <w:pPr>
              <w:pStyle w:val="56"/>
              <w:jc w:val="both"/>
            </w:pPr>
            <w:r>
              <w:rPr>
                <w:lang w:bidi="ru-RU"/>
              </w:rPr>
              <w:t>- мониторинг изменений законодательства в сфере закупок;</w:t>
            </w:r>
          </w:p>
          <w:p>
            <w:pPr>
              <w:pStyle w:val="56"/>
              <w:jc w:val="both"/>
            </w:pPr>
            <w:r>
              <w:rPr>
                <w:lang w:bidi="ru-RU"/>
              </w:rPr>
              <w:t>- мониторинг и анализ практики применения антимонопольного законодательства;</w:t>
            </w:r>
          </w:p>
          <w:p>
            <w:pPr>
              <w:pStyle w:val="56"/>
              <w:jc w:val="both"/>
            </w:pPr>
            <w:r>
              <w:rPr>
                <w:lang w:bidi="ru-RU"/>
              </w:rPr>
              <w:t>- повышение уровня квалификации сотрудников, ответственных за осуществление закупок</w:t>
            </w:r>
          </w:p>
        </w:tc>
      </w:tr>
    </w:tbl>
    <w:p>
      <w:pPr>
        <w:pStyle w:val="56"/>
        <w:ind w:firstLine="709"/>
        <w:jc w:val="both"/>
        <w:rPr>
          <w:sz w:val="28"/>
          <w:szCs w:val="28"/>
          <w:lang w:bidi="ru-RU"/>
        </w:rPr>
      </w:pPr>
    </w:p>
    <w:p>
      <w:pPr>
        <w:pStyle w:val="56"/>
        <w:ind w:firstLine="709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>
      <w:pPr>
        <w:pStyle w:val="56"/>
        <w:ind w:firstLine="709"/>
        <w:jc w:val="both"/>
        <w:rPr>
          <w:sz w:val="28"/>
          <w:szCs w:val="28"/>
          <w:lang w:bidi="ru-RU"/>
        </w:rPr>
      </w:pPr>
    </w:p>
    <w:p>
      <w:pPr>
        <w:widowControl w:val="0"/>
        <w:suppressAutoHyphens/>
        <w:spacing w:line="276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Муниципальная программа реализуется через комплекс мероприятий </w:t>
      </w:r>
      <w:r>
        <w:rPr>
          <w:rFonts w:eastAsia="Times New Roman"/>
          <w:sz w:val="28"/>
          <w:szCs w:val="28"/>
        </w:rPr>
        <w:t>по благоустройству городского округа.</w:t>
      </w:r>
    </w:p>
    <w:p>
      <w:pPr>
        <w:tabs>
          <w:tab w:val="left" w:pos="10080"/>
        </w:tabs>
        <w:ind w:firstLine="709"/>
        <w:jc w:val="both"/>
      </w:pPr>
      <w:r>
        <w:rPr>
          <w:bCs/>
          <w:color w:val="1C1C1C"/>
          <w:sz w:val="28"/>
          <w:szCs w:val="28"/>
        </w:rPr>
        <w:t>Реализация муниципальной программы позволит создать наиболее благоприятные и комфортные условия жизнедеятельности населения городского округа.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pStyle w:val="56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Начальник управления </w:t>
      </w:r>
    </w:p>
    <w:p>
      <w:pPr>
        <w:rPr>
          <w:rFonts w:hint="default"/>
          <w:lang w:val="ru-RU"/>
        </w:rPr>
      </w:pPr>
      <w:r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.Б. Мудрых</w:t>
      </w:r>
    </w:p>
    <w:p>
      <w:pPr>
        <w:jc w:val="both"/>
      </w:pPr>
    </w:p>
    <w:sectPr>
      <w:pgSz w:w="11906" w:h="16838"/>
      <w:pgMar w:top="1134" w:right="567" w:bottom="426" w:left="1755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8"/>
    <w:rsid w:val="003B0152"/>
    <w:rsid w:val="00526DDE"/>
    <w:rsid w:val="0087748B"/>
    <w:rsid w:val="00975898"/>
    <w:rsid w:val="00BE6034"/>
    <w:rsid w:val="405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qFormat="1" w:unhideWhenUsed="0" w:uiPriority="0" w:semiHidden="0" w:name="index heading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jc w:val="center"/>
      <w:outlineLvl w:val="0"/>
    </w:pPr>
    <w:rPr>
      <w:rFonts w:eastAsia="Times New Roman"/>
      <w:b/>
      <w:sz w:val="28"/>
    </w:rPr>
  </w:style>
  <w:style w:type="paragraph" w:styleId="3">
    <w:name w:val="heading 2"/>
    <w:basedOn w:val="1"/>
    <w:next w:val="1"/>
    <w:link w:val="22"/>
    <w:qFormat/>
    <w:uiPriority w:val="99"/>
    <w:pPr>
      <w:keepNext/>
      <w:pBdr>
        <w:bottom w:val="thinThickSmallGap" w:color="00000A" w:sz="24" w:space="1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4">
    <w:name w:val="heading 3"/>
    <w:basedOn w:val="1"/>
    <w:next w:val="1"/>
    <w:link w:val="23"/>
    <w:qFormat/>
    <w:uiPriority w:val="9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24"/>
    <w:qFormat/>
    <w:uiPriority w:val="99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6">
    <w:name w:val="heading 5"/>
    <w:basedOn w:val="1"/>
    <w:next w:val="1"/>
    <w:link w:val="25"/>
    <w:qFormat/>
    <w:uiPriority w:val="99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qFormat/>
    <w:uiPriority w:val="99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8">
    <w:name w:val="heading 7"/>
    <w:basedOn w:val="1"/>
    <w:next w:val="1"/>
    <w:link w:val="27"/>
    <w:qFormat/>
    <w:uiPriority w:val="99"/>
    <w:pPr>
      <w:spacing w:before="240" w:after="60"/>
      <w:outlineLvl w:val="6"/>
    </w:pPr>
    <w:rPr>
      <w:rFonts w:ascii="Calibri" w:hAnsi="Calibri" w:eastAsia="Times New Roman"/>
    </w:rPr>
  </w:style>
  <w:style w:type="paragraph" w:styleId="9">
    <w:name w:val="heading 8"/>
    <w:basedOn w:val="1"/>
    <w:next w:val="1"/>
    <w:link w:val="28"/>
    <w:qFormat/>
    <w:uiPriority w:val="99"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10">
    <w:name w:val="heading 9"/>
    <w:basedOn w:val="1"/>
    <w:next w:val="1"/>
    <w:link w:val="29"/>
    <w:qFormat/>
    <w:uiPriority w:val="99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nhideWhenUsed/>
    <w:qFormat/>
    <w:locked/>
    <w:uiPriority w:val="99"/>
    <w:rPr>
      <w:rFonts w:ascii="Segoe UI" w:hAnsi="Segoe UI" w:cs="Segoe UI"/>
      <w:sz w:val="18"/>
      <w:szCs w:val="18"/>
    </w:rPr>
  </w:style>
  <w:style w:type="paragraph" w:styleId="14">
    <w:name w:val="caption"/>
    <w:basedOn w:val="1"/>
    <w:next w:val="1"/>
    <w:qFormat/>
    <w:uiPriority w:val="99"/>
    <w:rPr>
      <w:b/>
      <w:bCs/>
      <w:sz w:val="20"/>
      <w:szCs w:val="20"/>
    </w:rPr>
  </w:style>
  <w:style w:type="paragraph" w:styleId="15">
    <w:name w:val="Body Text"/>
    <w:basedOn w:val="1"/>
    <w:uiPriority w:val="0"/>
    <w:pPr>
      <w:spacing w:after="140" w:line="288" w:lineRule="auto"/>
    </w:pPr>
  </w:style>
  <w:style w:type="paragraph" w:styleId="16">
    <w:name w:val="index heading"/>
    <w:basedOn w:val="1"/>
    <w:next w:val="17"/>
    <w:qFormat/>
    <w:uiPriority w:val="0"/>
    <w:pPr>
      <w:suppressLineNumbers/>
    </w:pPr>
    <w:rPr>
      <w:rFonts w:cs="Arial"/>
    </w:rPr>
  </w:style>
  <w:style w:type="paragraph" w:styleId="17">
    <w:name w:val="index 1"/>
    <w:basedOn w:val="1"/>
    <w:next w:val="1"/>
    <w:semiHidden/>
    <w:unhideWhenUsed/>
    <w:locked/>
    <w:uiPriority w:val="99"/>
  </w:style>
  <w:style w:type="paragraph" w:styleId="18">
    <w:name w:val="List"/>
    <w:basedOn w:val="15"/>
    <w:uiPriority w:val="0"/>
    <w:rPr>
      <w:rFonts w:cs="Arial"/>
    </w:rPr>
  </w:style>
  <w:style w:type="paragraph" w:styleId="19">
    <w:name w:val="Normal (Web)"/>
    <w:basedOn w:val="1"/>
    <w:semiHidden/>
    <w:qFormat/>
    <w:locked/>
    <w:uiPriority w:val="99"/>
    <w:pPr>
      <w:spacing w:beforeAutospacing="1" w:afterAutospacing="1"/>
    </w:pPr>
    <w:rPr>
      <w:rFonts w:eastAsia="Times New Roman"/>
    </w:rPr>
  </w:style>
  <w:style w:type="table" w:styleId="20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1 Знак"/>
    <w:basedOn w:val="11"/>
    <w:link w:val="2"/>
    <w:qFormat/>
    <w:locked/>
    <w:uiPriority w:val="99"/>
    <w:rPr>
      <w:rFonts w:eastAsia="Times New Roman" w:cs="Times New Roman"/>
      <w:b/>
      <w:sz w:val="24"/>
      <w:szCs w:val="24"/>
    </w:rPr>
  </w:style>
  <w:style w:type="character" w:customStyle="1" w:styleId="22">
    <w:name w:val="Заголовок 2 Знак"/>
    <w:basedOn w:val="11"/>
    <w:link w:val="3"/>
    <w:qFormat/>
    <w:locked/>
    <w:uiPriority w:val="99"/>
    <w:rPr>
      <w:rFonts w:eastAsia="Times New Roman" w:cs="Times New Roman"/>
      <w:b/>
      <w:sz w:val="24"/>
      <w:szCs w:val="24"/>
    </w:rPr>
  </w:style>
  <w:style w:type="character" w:customStyle="1" w:styleId="23">
    <w:name w:val="Заголовок 3 Знак"/>
    <w:basedOn w:val="11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4">
    <w:name w:val="Заголовок 4 Знак"/>
    <w:basedOn w:val="11"/>
    <w:link w:val="5"/>
    <w:semiHidden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25">
    <w:name w:val="Заголовок 5 Знак"/>
    <w:basedOn w:val="11"/>
    <w:link w:val="6"/>
    <w:semiHidden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26">
    <w:name w:val="Заголовок 6 Знак"/>
    <w:basedOn w:val="11"/>
    <w:link w:val="7"/>
    <w:semiHidden/>
    <w:qFormat/>
    <w:locked/>
    <w:uiPriority w:val="99"/>
    <w:rPr>
      <w:rFonts w:ascii="Calibri" w:hAnsi="Calibri" w:cs="Times New Roman"/>
      <w:b/>
      <w:bCs/>
      <w:sz w:val="22"/>
      <w:szCs w:val="22"/>
    </w:rPr>
  </w:style>
  <w:style w:type="character" w:customStyle="1" w:styleId="27">
    <w:name w:val="Заголовок 7 Знак"/>
    <w:basedOn w:val="11"/>
    <w:link w:val="8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8">
    <w:name w:val="Заголовок 8 Знак"/>
    <w:basedOn w:val="11"/>
    <w:link w:val="9"/>
    <w:semiHidden/>
    <w:qFormat/>
    <w:locked/>
    <w:uiPriority w:val="99"/>
    <w:rPr>
      <w:rFonts w:ascii="Calibri" w:hAnsi="Calibri" w:cs="Times New Roman"/>
      <w:i/>
      <w:iCs/>
      <w:sz w:val="24"/>
      <w:szCs w:val="24"/>
    </w:rPr>
  </w:style>
  <w:style w:type="character" w:customStyle="1" w:styleId="29">
    <w:name w:val="Заголовок 9 Знак"/>
    <w:basedOn w:val="11"/>
    <w:link w:val="10"/>
    <w:semiHidden/>
    <w:qFormat/>
    <w:locked/>
    <w:uiPriority w:val="99"/>
    <w:rPr>
      <w:rFonts w:ascii="Cambria" w:hAnsi="Cambria" w:cs="Times New Roman"/>
      <w:sz w:val="22"/>
      <w:szCs w:val="22"/>
    </w:rPr>
  </w:style>
  <w:style w:type="character" w:customStyle="1" w:styleId="30">
    <w:name w:val="Интернет-ссылка"/>
    <w:qFormat/>
    <w:uiPriority w:val="0"/>
    <w:rPr>
      <w:color w:val="000080"/>
      <w:u w:val="single"/>
    </w:rPr>
  </w:style>
  <w:style w:type="character" w:customStyle="1" w:styleId="31">
    <w:name w:val="Текст выноски Знак"/>
    <w:basedOn w:val="11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2">
    <w:name w:val="ListLabel 1"/>
    <w:qFormat/>
    <w:uiPriority w:val="0"/>
    <w:rPr>
      <w:rFonts w:cs="Times New Roman"/>
    </w:rPr>
  </w:style>
  <w:style w:type="character" w:customStyle="1" w:styleId="33">
    <w:name w:val="ListLabel 2"/>
    <w:qFormat/>
    <w:uiPriority w:val="0"/>
    <w:rPr>
      <w:rFonts w:cs="Times New Roman"/>
    </w:rPr>
  </w:style>
  <w:style w:type="character" w:customStyle="1" w:styleId="34">
    <w:name w:val="ListLabel 3"/>
    <w:qFormat/>
    <w:uiPriority w:val="0"/>
    <w:rPr>
      <w:rFonts w:cs="Times New Roman"/>
    </w:rPr>
  </w:style>
  <w:style w:type="character" w:customStyle="1" w:styleId="35">
    <w:name w:val="ListLabel 4"/>
    <w:qFormat/>
    <w:uiPriority w:val="0"/>
    <w:rPr>
      <w:rFonts w:cs="Times New Roman"/>
    </w:rPr>
  </w:style>
  <w:style w:type="character" w:customStyle="1" w:styleId="36">
    <w:name w:val="ListLabel 5"/>
    <w:qFormat/>
    <w:uiPriority w:val="0"/>
    <w:rPr>
      <w:rFonts w:cs="Times New Roman"/>
    </w:rPr>
  </w:style>
  <w:style w:type="character" w:customStyle="1" w:styleId="37">
    <w:name w:val="ListLabel 6"/>
    <w:qFormat/>
    <w:uiPriority w:val="0"/>
    <w:rPr>
      <w:rFonts w:cs="Times New Roman"/>
    </w:rPr>
  </w:style>
  <w:style w:type="character" w:customStyle="1" w:styleId="38">
    <w:name w:val="ListLabel 7"/>
    <w:qFormat/>
    <w:uiPriority w:val="0"/>
    <w:rPr>
      <w:rFonts w:cs="Times New Roman"/>
    </w:rPr>
  </w:style>
  <w:style w:type="character" w:customStyle="1" w:styleId="39">
    <w:name w:val="ListLabel 8"/>
    <w:qFormat/>
    <w:uiPriority w:val="0"/>
    <w:rPr>
      <w:rFonts w:cs="Times New Roman"/>
    </w:rPr>
  </w:style>
  <w:style w:type="character" w:customStyle="1" w:styleId="40">
    <w:name w:val="ListLabel 9"/>
    <w:qFormat/>
    <w:uiPriority w:val="0"/>
    <w:rPr>
      <w:rFonts w:cs="Times New Roman"/>
    </w:rPr>
  </w:style>
  <w:style w:type="character" w:customStyle="1" w:styleId="41">
    <w:name w:val="ListLabel 10"/>
    <w:qFormat/>
    <w:uiPriority w:val="0"/>
    <w:rPr>
      <w:rFonts w:cs="Times New Roman"/>
    </w:rPr>
  </w:style>
  <w:style w:type="character" w:customStyle="1" w:styleId="42">
    <w:name w:val="ListLabel 11"/>
    <w:qFormat/>
    <w:uiPriority w:val="0"/>
    <w:rPr>
      <w:rFonts w:cs="Times New Roman"/>
    </w:rPr>
  </w:style>
  <w:style w:type="character" w:customStyle="1" w:styleId="43">
    <w:name w:val="ListLabel 12"/>
    <w:qFormat/>
    <w:uiPriority w:val="0"/>
    <w:rPr>
      <w:rFonts w:cs="Times New Roman"/>
    </w:rPr>
  </w:style>
  <w:style w:type="character" w:customStyle="1" w:styleId="44">
    <w:name w:val="ListLabel 13"/>
    <w:qFormat/>
    <w:uiPriority w:val="0"/>
    <w:rPr>
      <w:rFonts w:cs="Times New Roman"/>
    </w:rPr>
  </w:style>
  <w:style w:type="character" w:customStyle="1" w:styleId="45">
    <w:name w:val="ListLabel 14"/>
    <w:qFormat/>
    <w:uiPriority w:val="0"/>
    <w:rPr>
      <w:rFonts w:cs="Times New Roman"/>
    </w:rPr>
  </w:style>
  <w:style w:type="character" w:customStyle="1" w:styleId="46">
    <w:name w:val="ListLabel 15"/>
    <w:qFormat/>
    <w:uiPriority w:val="0"/>
    <w:rPr>
      <w:rFonts w:cs="Times New Roman"/>
    </w:rPr>
  </w:style>
  <w:style w:type="character" w:customStyle="1" w:styleId="47">
    <w:name w:val="ListLabel 16"/>
    <w:qFormat/>
    <w:uiPriority w:val="0"/>
    <w:rPr>
      <w:rFonts w:cs="Times New Roman"/>
    </w:rPr>
  </w:style>
  <w:style w:type="character" w:customStyle="1" w:styleId="48">
    <w:name w:val="ListLabel 17"/>
    <w:qFormat/>
    <w:uiPriority w:val="0"/>
    <w:rPr>
      <w:rFonts w:cs="Times New Roman"/>
    </w:rPr>
  </w:style>
  <w:style w:type="character" w:customStyle="1" w:styleId="49">
    <w:name w:val="ListLabel 18"/>
    <w:qFormat/>
    <w:uiPriority w:val="0"/>
    <w:rPr>
      <w:rFonts w:cs="Times New Roman"/>
    </w:rPr>
  </w:style>
  <w:style w:type="character" w:customStyle="1" w:styleId="50">
    <w:name w:val="ListLabel 19"/>
    <w:qFormat/>
    <w:uiPriority w:val="0"/>
    <w:rPr>
      <w:rFonts w:cs="Courier New"/>
    </w:rPr>
  </w:style>
  <w:style w:type="character" w:customStyle="1" w:styleId="51">
    <w:name w:val="ListLabel 20"/>
    <w:qFormat/>
    <w:uiPriority w:val="0"/>
    <w:rPr>
      <w:rFonts w:cs="Courier New"/>
    </w:rPr>
  </w:style>
  <w:style w:type="character" w:customStyle="1" w:styleId="52">
    <w:name w:val="ListLabel 21"/>
    <w:qFormat/>
    <w:uiPriority w:val="0"/>
    <w:rPr>
      <w:rFonts w:cs="Courier New"/>
    </w:rPr>
  </w:style>
  <w:style w:type="paragraph" w:customStyle="1" w:styleId="53">
    <w:name w:val="Заголовок"/>
    <w:basedOn w:val="1"/>
    <w:next w:val="1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54">
    <w:name w:val="List Paragraph"/>
    <w:basedOn w:val="1"/>
    <w:qFormat/>
    <w:uiPriority w:val="99"/>
    <w:pPr>
      <w:ind w:left="720"/>
      <w:contextualSpacing/>
    </w:pPr>
  </w:style>
  <w:style w:type="paragraph" w:customStyle="1" w:styleId="55">
    <w:name w:val="ConsPlusCell"/>
    <w:qFormat/>
    <w:uiPriority w:val="99"/>
    <w:pPr>
      <w:widowControl w:val="0"/>
    </w:pPr>
    <w:rPr>
      <w:rFonts w:ascii="Calibri" w:hAnsi="Calibri" w:eastAsia="Times New Roman" w:cs="Calibri"/>
      <w:sz w:val="24"/>
      <w:szCs w:val="22"/>
      <w:lang w:val="ru-RU" w:eastAsia="ru-RU" w:bidi="ar-SA"/>
    </w:rPr>
  </w:style>
  <w:style w:type="paragraph" w:customStyle="1" w:styleId="56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161E-956F-4DA2-AF17-9EBFC0F0AB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534</Words>
  <Characters>3048</Characters>
  <Lines>25</Lines>
  <Paragraphs>7</Paragraphs>
  <TotalTime>107</TotalTime>
  <ScaleCrop>false</ScaleCrop>
  <LinksUpToDate>false</LinksUpToDate>
  <CharactersWithSpaces>3575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2020-09-21T09:56:00Z</dcterms:created>
  <dc:creator>Симонова Нинель Владиславовна</dc:creator>
  <cp:lastModifiedBy>Агеева</cp:lastModifiedBy>
  <cp:lastPrinted>2022-09-20T10:24:03Z</cp:lastPrinted>
  <dcterms:modified xsi:type="dcterms:W3CDTF">2022-09-20T10:28:29Z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4585F5E699D241ADB4499029C20678D6</vt:lpwstr>
  </property>
</Properties>
</file>