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false"/>
        <w:bidi w:val="0"/>
        <w:ind w:left="5556" w:right="0" w:hanging="0"/>
        <w:jc w:val="left"/>
        <w:rPr/>
      </w:pPr>
      <w:r>
        <w:rPr>
          <w:sz w:val="28"/>
          <w:szCs w:val="28"/>
        </w:rPr>
        <w:t>ПРИЛОЖЕНИЕ</w:t>
      </w:r>
    </w:p>
    <w:p>
      <w:pPr>
        <w:pStyle w:val="Normal"/>
        <w:widowControl/>
        <w:suppressAutoHyphens w:val="false"/>
        <w:bidi w:val="0"/>
        <w:ind w:left="5556" w:right="0" w:hanging="0"/>
        <w:jc w:val="left"/>
        <w:rPr/>
      </w:pPr>
      <w:r>
        <w:rPr>
          <w:sz w:val="28"/>
          <w:szCs w:val="28"/>
        </w:rPr>
        <w:t>к постановлению администрации</w:t>
      </w:r>
    </w:p>
    <w:p>
      <w:pPr>
        <w:pStyle w:val="Normal"/>
        <w:widowControl/>
        <w:tabs>
          <w:tab w:val="clear" w:pos="708"/>
          <w:tab w:val="left" w:pos="5730" w:leader="none"/>
        </w:tabs>
        <w:suppressAutoHyphens w:val="false"/>
        <w:bidi w:val="0"/>
        <w:ind w:left="5556" w:right="0" w:hanging="0"/>
        <w:jc w:val="left"/>
        <w:rPr/>
      </w:pPr>
      <w:r>
        <w:rPr>
          <w:sz w:val="28"/>
          <w:szCs w:val="28"/>
        </w:rPr>
        <w:t>Копейского городского округа</w:t>
      </w:r>
    </w:p>
    <w:p>
      <w:pPr>
        <w:pStyle w:val="Normal"/>
        <w:widowControl/>
        <w:suppressAutoHyphens w:val="false"/>
        <w:bidi w:val="0"/>
        <w:ind w:left="5556" w:right="0" w:hanging="0"/>
        <w:jc w:val="left"/>
        <w:rPr/>
      </w:pPr>
      <w:r>
        <w:rPr>
          <w:sz w:val="28"/>
          <w:szCs w:val="28"/>
        </w:rPr>
        <w:t>от __________ № ___________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center"/>
        <w:rPr/>
      </w:pPr>
      <w:r>
        <w:rPr>
          <w:color w:val="000000"/>
          <w:sz w:val="28"/>
          <w:szCs w:val="28"/>
        </w:rPr>
        <w:t>Изменения в муниципальную программу «Переселение граждан из жилищного фонда, признанного непригодным для проживания в Копейском                       городском округе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4"/>
          <w:lang w:val="ru-RU" w:eastAsia="ru-RU" w:bidi="hi-IN"/>
        </w:rPr>
        <w:t>»</w:t>
      </w:r>
    </w:p>
    <w:p>
      <w:pPr>
        <w:pStyle w:val="Normal"/>
        <w:ind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680"/>
        <w:jc w:val="both"/>
        <w:rPr/>
      </w:pPr>
      <w:r>
        <w:rPr>
          <w:color w:val="000000"/>
          <w:sz w:val="28"/>
          <w:szCs w:val="28"/>
        </w:rPr>
        <w:t xml:space="preserve">1. Таблицу </w:t>
      </w:r>
      <w:r>
        <w:rPr>
          <w:color w:val="000000"/>
          <w:sz w:val="28"/>
          <w:szCs w:val="28"/>
          <w:lang w:val="en-US"/>
        </w:rPr>
        <w:t>1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пункта 3</w:t>
      </w:r>
      <w:r>
        <w:rPr>
          <w:color w:val="000000"/>
          <w:sz w:val="28"/>
          <w:szCs w:val="28"/>
        </w:rPr>
        <w:t xml:space="preserve"> паспорта муниципальной программы изложить в следующей редакции:</w:t>
      </w:r>
    </w:p>
    <w:p>
      <w:pPr>
        <w:pStyle w:val="Normal"/>
        <w:ind w:firstLine="6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1134" w:leader="none"/>
        </w:tabs>
        <w:bidi w:val="0"/>
        <w:ind w:left="0" w:right="0" w:firstLine="709"/>
        <w:jc w:val="right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ru-RU" w:eastAsia="ru-RU" w:bidi="hi-IN"/>
        </w:rPr>
        <w:t>«Таблица 1</w:t>
      </w:r>
    </w:p>
    <w:tbl>
      <w:tblPr>
        <w:tblW w:w="9756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5954"/>
        <w:gridCol w:w="995"/>
        <w:gridCol w:w="992"/>
        <w:gridCol w:w="1000"/>
      </w:tblGrid>
      <w:tr>
        <w:trPr>
          <w:trHeight w:val="403" w:hRule="atLeast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84"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84"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целевые показатели (индикаторы)     муниципальной программы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firstLine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целевых            показателей (индикаторов) муниципальной             программы</w:t>
            </w:r>
          </w:p>
        </w:tc>
      </w:tr>
      <w:tr>
        <w:trPr>
          <w:trHeight w:val="434" w:hRule="atLeast"/>
        </w:trPr>
        <w:tc>
          <w:tcPr>
            <w:tcW w:w="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napToGrid w:val="false"/>
              <w:spacing w:lineRule="auto" w:line="240" w:before="0" w:after="0"/>
              <w:ind w:left="-84"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napToGrid w:val="false"/>
              <w:spacing w:lineRule="auto" w:line="240" w:before="0" w:after="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65" w:right="-38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80" w:right="-6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80" w:right="-6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>
        <w:trPr>
          <w:trHeight w:val="165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84"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65" w:right="-38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80" w:right="-6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80" w:right="-6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378" w:hRule="atLeast"/>
        </w:trPr>
        <w:tc>
          <w:tcPr>
            <w:tcW w:w="9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80" w:right="-66" w:hanging="0"/>
              <w:jc w:val="left"/>
              <w:rPr/>
            </w:pPr>
            <w:r>
              <w:rPr>
                <w:color w:val="000000"/>
                <w:sz w:val="24"/>
                <w:szCs w:val="24"/>
                <w:lang w:eastAsia="ru-RU"/>
              </w:rPr>
              <w:t>Цель: Ликвидация непригодного для проживания, аварийного жилищного фонда</w:t>
            </w:r>
          </w:p>
        </w:tc>
      </w:tr>
      <w:tr>
        <w:trPr>
          <w:trHeight w:val="1465" w:hRule="atLeast"/>
        </w:trPr>
        <w:tc>
          <w:tcPr>
            <w:tcW w:w="9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80" w:right="-66" w:hanging="0"/>
              <w:rPr/>
            </w:pPr>
            <w:r>
              <w:rPr>
                <w:color w:val="000000"/>
                <w:sz w:val="24"/>
                <w:szCs w:val="24"/>
                <w:lang w:eastAsia="ru-RU"/>
              </w:rPr>
              <w:t>Задача 1: Формирование жилищного фонда, необходимого для переселения граждан из        непригодного, аварийного жилищного фонда. Обеспечение жилищных прав граждан,         проживающих в жилых помещениях муниципального жилищного фонда,  находящихся в     непригодных, аварийных многоквартирных домах (далее – МКД). Обеспечение жилищных прав собственников изымаемых жилых помещений, находящихся в непригодных, аварийных МКД.</w:t>
            </w:r>
          </w:p>
        </w:tc>
      </w:tr>
      <w:tr>
        <w:trPr>
          <w:trHeight w:val="626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84"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rPr/>
            </w:pPr>
            <w:r>
              <w:rPr>
                <w:color w:val="000000"/>
                <w:sz w:val="24"/>
                <w:szCs w:val="24"/>
              </w:rPr>
              <w:t>Количество квадратных метров, построенных           (приобретенных) жилых помещений (квартир)         (тыс. кв.м.)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65" w:right="-38" w:firstLine="5"/>
              <w:jc w:val="center"/>
              <w:rPr/>
            </w:pPr>
            <w:r>
              <w:rPr>
                <w:sz w:val="24"/>
                <w:szCs w:val="24"/>
              </w:rPr>
              <w:t>3,9892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80" w:right="-66" w:hanging="0"/>
              <w:jc w:val="center"/>
              <w:rPr/>
            </w:pPr>
            <w:r>
              <w:rPr>
                <w:sz w:val="24"/>
                <w:szCs w:val="24"/>
              </w:rPr>
              <w:t>4,1398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napToGrid w:val="false"/>
              <w:spacing w:lineRule="auto" w:line="240" w:before="0" w:after="0"/>
              <w:ind w:left="-80" w:right="-66" w:hanging="0"/>
              <w:jc w:val="center"/>
              <w:rPr/>
            </w:pPr>
            <w:r>
              <w:rPr>
                <w:sz w:val="24"/>
                <w:szCs w:val="24"/>
                <w:lang w:eastAsia="ru-RU"/>
              </w:rPr>
              <w:t>3,1325</w:t>
            </w:r>
          </w:p>
        </w:tc>
      </w:tr>
      <w:tr>
        <w:trPr>
          <w:trHeight w:val="617" w:hRule="atLeast"/>
        </w:trPr>
        <w:tc>
          <w:tcPr>
            <w:tcW w:w="9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80" w:right="-66" w:hanging="0"/>
              <w:rPr/>
            </w:pPr>
            <w:r>
              <w:rPr>
                <w:color w:val="000000"/>
                <w:sz w:val="24"/>
                <w:szCs w:val="24"/>
                <w:lang w:eastAsia="ru-RU"/>
              </w:rPr>
              <w:t>Задача 2. Переселение жителей МКД, признанных непригодными для проживания,              аварийными и подлежащими сносу или реконструкции.</w:t>
            </w:r>
          </w:p>
        </w:tc>
      </w:tr>
      <w:tr>
        <w:trPr>
          <w:trHeight w:val="699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84"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квадратных метров, расселенного             непригодного, аварийного жилищного фонда</w:t>
            </w:r>
          </w:p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кв.м.)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65" w:right="-38" w:firstLine="5"/>
              <w:jc w:val="center"/>
              <w:rPr/>
            </w:pPr>
            <w:r>
              <w:rPr>
                <w:sz w:val="24"/>
                <w:szCs w:val="24"/>
              </w:rPr>
              <w:t>0,8115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80" w:right="-66" w:hanging="0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11,2081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38" w:firstLine="4"/>
              <w:jc w:val="center"/>
              <w:rPr/>
            </w:pPr>
            <w:r>
              <w:rPr>
                <w:sz w:val="24"/>
                <w:szCs w:val="24"/>
                <w:lang w:eastAsia="ru-RU"/>
              </w:rPr>
              <w:t>2,6162</w:t>
            </w:r>
          </w:p>
        </w:tc>
      </w:tr>
      <w:tr>
        <w:trPr>
          <w:trHeight w:val="557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84"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граждан, расселенных из непригодного, аварийного жилищного фонда (тыс.чел.)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80" w:right="-66" w:hanging="0"/>
              <w:jc w:val="center"/>
              <w:rPr/>
            </w:pPr>
            <w:r>
              <w:rPr>
                <w:sz w:val="24"/>
                <w:szCs w:val="24"/>
              </w:rPr>
              <w:t>0,075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80" w:right="-66" w:hanging="0"/>
              <w:jc w:val="center"/>
              <w:rPr/>
            </w:pPr>
            <w:r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788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0,144»</w:t>
            </w:r>
          </w:p>
        </w:tc>
      </w:tr>
    </w:tbl>
    <w:p>
      <w:pPr>
        <w:pStyle w:val="Normal"/>
        <w:tabs>
          <w:tab w:val="clear" w:pos="708"/>
          <w:tab w:val="left" w:pos="1134" w:leader="none"/>
        </w:tabs>
        <w:bidi w:val="0"/>
        <w:ind w:left="0" w:right="0" w:firstLine="709"/>
        <w:jc w:val="right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ru-RU" w:eastAsia="ru-RU" w:bidi="hi-IN"/>
        </w:rPr>
      </w:r>
    </w:p>
    <w:p>
      <w:pPr>
        <w:pStyle w:val="Normal"/>
        <w:tabs>
          <w:tab w:val="clear" w:pos="708"/>
          <w:tab w:val="left" w:pos="1134" w:leader="none"/>
        </w:tabs>
        <w:bidi w:val="0"/>
        <w:ind w:left="0" w:right="0" w:firstLine="709"/>
        <w:jc w:val="right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ru-RU" w:eastAsia="ru-RU" w:bidi="hi-IN"/>
        </w:rPr>
      </w:r>
    </w:p>
    <w:p>
      <w:pPr>
        <w:pStyle w:val="Normal"/>
        <w:widowControl w:val="false"/>
        <w:ind w:firstLine="709"/>
        <w:jc w:val="both"/>
        <w:rPr/>
      </w:pPr>
      <w:r>
        <w:rPr>
          <w:sz w:val="28"/>
          <w:szCs w:val="28"/>
        </w:rPr>
        <w:t>2. Пункт 5</w:t>
      </w:r>
      <w:r>
        <w:rPr>
          <w:color w:val="000000"/>
          <w:sz w:val="28"/>
          <w:szCs w:val="28"/>
        </w:rPr>
        <w:t xml:space="preserve"> паспорта муниципальной программы изложить в следующей редакции: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8"/>
          <w:tab w:val="left" w:pos="1134" w:leader="none"/>
        </w:tabs>
        <w:suppressAutoHyphens w:val="false"/>
        <w:bidi w:val="0"/>
        <w:spacing w:lineRule="auto" w:line="276" w:before="0" w:after="0"/>
        <w:ind w:left="737" w:right="0" w:hanging="0"/>
        <w:contextualSpacing/>
        <w:jc w:val="both"/>
        <w:rPr/>
      </w:pPr>
      <w:r>
        <w:rPr>
          <w:rFonts w:eastAsia="Times New Roman" w:cs="Liberation Serif" w:ascii="Times New Roman" w:hAnsi="Times New Roman"/>
          <w:color w:val="000000"/>
          <w:kern w:val="2"/>
          <w:sz w:val="28"/>
          <w:szCs w:val="24"/>
          <w:lang w:val="ru-RU" w:eastAsia="zh-CN" w:bidi="ar-SA"/>
        </w:rPr>
        <w:t>«5. Объемы бюджетных ассигнований муниципальной программы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4"/>
          <w:lang w:val="ru-RU" w:eastAsia="zh-CN" w:bidi="ar-SA"/>
        </w:rPr>
        <w:t>.</w:t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Liberation Serif" w:ascii="Times New Roman" w:hAnsi="Times New Roman"/>
          <w:color w:val="000000"/>
          <w:kern w:val="2"/>
          <w:sz w:val="28"/>
          <w:szCs w:val="24"/>
          <w:lang w:val="ru-RU" w:eastAsia="zh-CN" w:bidi="ar-SA"/>
        </w:rPr>
        <w:t xml:space="preserve">Общий объем финансового обеспечения муниципальной программы в  2021-2023 годах составит </w:t>
      </w:r>
      <w:r>
        <w:rPr>
          <w:rFonts w:eastAsia="Times New Roman" w:cs="Liberation Serif" w:ascii="Times New Roman" w:hAnsi="Times New Roman"/>
          <w:color w:val="000000"/>
          <w:kern w:val="2"/>
          <w:sz w:val="28"/>
          <w:szCs w:val="28"/>
          <w:lang w:val="ru-RU" w:eastAsia="zh-CN" w:bidi="ar-SA"/>
        </w:rPr>
        <w:t>513 474,2</w:t>
      </w:r>
      <w:r>
        <w:rPr>
          <w:rFonts w:eastAsia="Times New Roman" w:cs="Liberation Serif" w:ascii="Times New Roman" w:hAnsi="Times New Roman"/>
          <w:color w:val="000000"/>
          <w:kern w:val="2"/>
          <w:sz w:val="28"/>
          <w:szCs w:val="24"/>
          <w:lang w:val="ru-RU" w:eastAsia="zh-CN" w:bidi="ar-SA"/>
        </w:rPr>
        <w:t xml:space="preserve"> тыс. рублей, в том числе:</w:t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 w:eastAsia="Times New Roman" w:cs="Liberation Serif"/>
          <w:color w:val="000000"/>
          <w:kern w:val="2"/>
          <w:sz w:val="28"/>
          <w:szCs w:val="24"/>
          <w:lang w:val="ru-RU" w:eastAsia="zh-CN" w:bidi="ar-SA"/>
        </w:rPr>
      </w:pPr>
      <w:r>
        <w:rPr>
          <w:rFonts w:eastAsia="Times New Roman" w:cs="Liberation Serif" w:ascii="Times New Roman" w:hAnsi="Times New Roman"/>
          <w:color w:val="000000"/>
          <w:kern w:val="2"/>
          <w:sz w:val="28"/>
          <w:szCs w:val="24"/>
          <w:lang w:val="ru-RU" w:eastAsia="zh-CN" w:bidi="ar-SA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 w:eastAsia="Times New Roman" w:cs="Liberation Serif"/>
          <w:color w:val="000000"/>
          <w:kern w:val="2"/>
          <w:sz w:val="28"/>
          <w:szCs w:val="24"/>
          <w:lang w:val="ru-RU" w:eastAsia="zh-CN" w:bidi="ar-SA"/>
        </w:rPr>
      </w:pPr>
      <w:r>
        <w:rPr>
          <w:rFonts w:eastAsia="Times New Roman" w:cs="Liberation Serif" w:ascii="Times New Roman" w:hAnsi="Times New Roman"/>
          <w:color w:val="000000"/>
          <w:kern w:val="2"/>
          <w:sz w:val="28"/>
          <w:szCs w:val="24"/>
          <w:lang w:val="ru-RU" w:eastAsia="zh-CN" w:bidi="ar-SA"/>
        </w:rPr>
      </w:r>
    </w:p>
    <w:p>
      <w:pPr>
        <w:pStyle w:val="Normal"/>
        <w:tabs>
          <w:tab w:val="clear" w:pos="708"/>
          <w:tab w:val="left" w:pos="1134" w:leader="none"/>
        </w:tabs>
        <w:bidi w:val="0"/>
        <w:ind w:left="0" w:right="0" w:firstLine="709"/>
        <w:jc w:val="right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4"/>
          <w:lang w:val="ru-RU" w:eastAsia="ru-RU" w:bidi="hi-IN"/>
        </w:rPr>
        <w:t>Таблица 2</w:t>
      </w:r>
    </w:p>
    <w:tbl>
      <w:tblPr>
        <w:tblW w:w="9757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723"/>
        <w:gridCol w:w="2268"/>
        <w:gridCol w:w="2269"/>
        <w:gridCol w:w="2135"/>
      </w:tblGrid>
      <w:tr>
        <w:trPr/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</w:tc>
        <w:tc>
          <w:tcPr>
            <w:tcW w:w="8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Объемы финансирования (тыс. рублей)</w:t>
            </w:r>
          </w:p>
        </w:tc>
      </w:tr>
      <w:tr>
        <w:trPr/>
        <w:tc>
          <w:tcPr>
            <w:tcW w:w="13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napToGrid w:val="false"/>
              <w:spacing w:lineRule="auto" w:line="240"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/>
            </w:pPr>
            <w:r>
              <w:rPr>
                <w:szCs w:val="28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/>
            </w:pPr>
            <w:r>
              <w:rPr>
                <w:szCs w:val="28"/>
              </w:rPr>
              <w:t>Областной бюджет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/>
            </w:pPr>
            <w:r>
              <w:rPr>
                <w:szCs w:val="28"/>
              </w:rPr>
              <w:t>Средства Фонда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/>
            </w:pPr>
            <w:r>
              <w:rPr>
                <w:szCs w:val="28"/>
              </w:rPr>
              <w:t>Итого</w:t>
            </w:r>
          </w:p>
        </w:tc>
      </w:tr>
      <w:tr>
        <w:trPr>
          <w:trHeight w:val="160" w:hRule="atLeast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176,0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/>
            </w:pPr>
            <w:r>
              <w:rPr>
                <w:szCs w:val="28"/>
              </w:rPr>
              <w:t>141 271,1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/>
            </w:pPr>
            <w:r>
              <w:rPr>
                <w:szCs w:val="28"/>
              </w:rPr>
              <w:t>141 447,1</w:t>
            </w:r>
          </w:p>
        </w:tc>
      </w:tr>
      <w:tr>
        <w:trPr>
          <w:trHeight w:val="160" w:hRule="atLeast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/>
            </w:pPr>
            <w:r>
              <w:rPr>
                <w:szCs w:val="28"/>
              </w:rPr>
              <w:t>213,0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/>
            </w:pPr>
            <w:r>
              <w:rPr>
                <w:szCs w:val="28"/>
              </w:rPr>
              <w:t>211 653,1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/>
            </w:pPr>
            <w:r>
              <w:rPr>
                <w:szCs w:val="28"/>
              </w:rPr>
              <w:t>211 866,1</w:t>
            </w:r>
          </w:p>
        </w:tc>
      </w:tr>
      <w:tr>
        <w:trPr>
          <w:trHeight w:val="160" w:hRule="atLeast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/>
            </w:pPr>
            <w:r>
              <w:rPr>
                <w:szCs w:val="28"/>
              </w:rPr>
              <w:t>161,0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/>
            </w:pPr>
            <w:r>
              <w:rPr>
                <w:szCs w:val="28"/>
              </w:rPr>
              <w:t>160 000,0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/>
            </w:pPr>
            <w:r>
              <w:rPr>
                <w:szCs w:val="28"/>
              </w:rPr>
              <w:t>160 161,0</w:t>
            </w:r>
          </w:p>
        </w:tc>
      </w:tr>
      <w:tr>
        <w:trPr/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/>
            </w:pPr>
            <w:r>
              <w:rPr>
                <w:szCs w:val="28"/>
              </w:rPr>
              <w:t>550,0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/>
            </w:pPr>
            <w:r>
              <w:rPr>
                <w:szCs w:val="28"/>
              </w:rPr>
              <w:t>512 924,2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napToGrid w:val="false"/>
              <w:spacing w:lineRule="auto" w:line="240"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/>
            </w:pPr>
            <w:bookmarkStart w:id="0" w:name="__DdeLink__4365_4139038848"/>
            <w:r>
              <w:rPr>
                <w:szCs w:val="28"/>
              </w:rPr>
              <w:t>513 474,2</w:t>
            </w:r>
            <w:bookmarkEnd w:id="0"/>
          </w:p>
        </w:tc>
      </w:tr>
    </w:tbl>
    <w:p>
      <w:pPr>
        <w:pStyle w:val="Normal"/>
        <w:keepNext w:val="true"/>
        <w:tabs>
          <w:tab w:val="clear" w:pos="708"/>
          <w:tab w:val="left" w:pos="1134" w:leader="none"/>
        </w:tabs>
        <w:bidi w:val="0"/>
        <w:spacing w:lineRule="auto" w:line="240"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40" w:before="0" w:after="0"/>
        <w:ind w:firstLine="709"/>
        <w:jc w:val="both"/>
        <w:rPr/>
      </w:pPr>
      <w:r>
        <w:rPr>
          <w:color w:val="000000"/>
          <w:sz w:val="28"/>
          <w:szCs w:val="28"/>
        </w:rPr>
        <w:t>Объемы финансирования мероприятий муниципальной программы        ежегодно уточняются при формировании бюджетов на очередной финансовый год.»</w:t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 Подпункты 3, 4 пункта 6 паспорта муниципальной программы               изложить в следующей  редакции:</w:t>
      </w:r>
    </w:p>
    <w:p>
      <w:pPr>
        <w:pStyle w:val="1"/>
        <w:keepNext w:val="false"/>
        <w:keepLines w:val="false"/>
        <w:widowControl w:val="false"/>
        <w:tabs>
          <w:tab w:val="clear" w:pos="708"/>
          <w:tab w:val="left" w:pos="1134" w:leader="none"/>
        </w:tabs>
        <w:suppressAutoHyphens w:val="false"/>
        <w:spacing w:lineRule="auto" w:line="240"/>
        <w:ind w:left="0" w:firstLine="709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«3) расселение МКД, общей площадью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14 635,8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кв.м., признанных             непригодными для проживания, аварийными и подлежащими сносу или            реконструкции в связи с физическим износом в процессе их эксплуатации;</w:t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4) переселение </w:t>
      </w:r>
      <w:bookmarkStart w:id="1" w:name="__DdeLink__3757_4139038848"/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1</w:t>
      </w:r>
      <w:bookmarkEnd w:id="1"/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070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жителей МКД, признанных непригодными для          проживания, аварийными и подлежащими сносу или реконструкции в связи с физическим износом в процессе их эксплуатации.»</w:t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4. Таблицу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en-US"/>
        </w:rPr>
        <w:t>3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раздела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паспорта муниципальной программы изложить в следующей редакции:</w:t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color w:val="000000"/>
          <w:kern w:val="2"/>
          <w:sz w:val="22"/>
          <w:szCs w:val="22"/>
          <w:lang w:eastAsia="ru-RU" w:bidi="hi-IN"/>
        </w:rPr>
        <w:t>«Таблица 3</w:t>
      </w:r>
    </w:p>
    <w:tbl>
      <w:tblPr>
        <w:tblW w:w="987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2273"/>
        <w:gridCol w:w="1248"/>
        <w:gridCol w:w="622"/>
        <w:gridCol w:w="964"/>
        <w:gridCol w:w="679"/>
        <w:gridCol w:w="1"/>
        <w:gridCol w:w="1185"/>
        <w:gridCol w:w="1"/>
        <w:gridCol w:w="1080"/>
        <w:gridCol w:w="1"/>
        <w:gridCol w:w="1256"/>
      </w:tblGrid>
      <w:tr>
        <w:trPr>
          <w:trHeight w:val="495" w:hRule="atLeast"/>
          <w:cantSplit w:val="true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kern w:val="2"/>
                <w:sz w:val="22"/>
                <w:szCs w:val="22"/>
                <w:lang w:eastAsia="ru-RU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ru-RU" w:bidi="hi-IN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kern w:val="2"/>
                <w:sz w:val="22"/>
                <w:szCs w:val="22"/>
                <w:lang w:eastAsia="ru-RU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ru-RU" w:bidi="hi-IN"/>
              </w:rPr>
              <w:t>п/п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40" w:hanging="0"/>
              <w:jc w:val="center"/>
              <w:rPr>
                <w:color w:val="000000"/>
                <w:kern w:val="2"/>
                <w:sz w:val="22"/>
                <w:szCs w:val="22"/>
                <w:lang w:eastAsia="ru-RU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ru-RU" w:bidi="hi-IN"/>
              </w:rPr>
              <w:t>Наименование          мероприятий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kern w:val="2"/>
                <w:sz w:val="22"/>
                <w:szCs w:val="22"/>
                <w:lang w:eastAsia="en-US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Ответственный исполнитель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-57" w:right="-57" w:hanging="0"/>
              <w:jc w:val="center"/>
              <w:rPr>
                <w:color w:val="000000"/>
                <w:kern w:val="2"/>
                <w:sz w:val="22"/>
                <w:szCs w:val="22"/>
                <w:lang w:eastAsia="en-US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Срок реализации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kern w:val="2"/>
                <w:sz w:val="22"/>
                <w:szCs w:val="22"/>
                <w:lang w:eastAsia="en-US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Источник финансирования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4" w:hanging="34"/>
              <w:jc w:val="center"/>
              <w:rPr>
                <w:color w:val="000000"/>
                <w:kern w:val="2"/>
                <w:sz w:val="22"/>
                <w:szCs w:val="22"/>
                <w:lang w:eastAsia="en-US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 xml:space="preserve">№ </w:t>
            </w: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показателя из паспорта программы</w:t>
            </w:r>
          </w:p>
        </w:tc>
        <w:tc>
          <w:tcPr>
            <w:tcW w:w="3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34"/>
              <w:jc w:val="center"/>
              <w:rPr/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Объемы финансирования по годам  реализации муниципальной программы, (тыс. руб.)</w:t>
            </w:r>
          </w:p>
        </w:tc>
      </w:tr>
      <w:tr>
        <w:trPr>
          <w:trHeight w:val="822" w:hRule="atLeast"/>
        </w:trPr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kern w:val="2"/>
                <w:sz w:val="22"/>
                <w:szCs w:val="22"/>
                <w:lang w:eastAsia="en-US" w:bidi="hi-IN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kern w:val="2"/>
                <w:sz w:val="22"/>
                <w:szCs w:val="22"/>
                <w:lang w:eastAsia="en-US" w:bidi="hi-IN"/>
              </w:rPr>
            </w:r>
          </w:p>
        </w:tc>
        <w:tc>
          <w:tcPr>
            <w:tcW w:w="2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color w:val="000000"/>
                <w:kern w:val="2"/>
                <w:sz w:val="22"/>
                <w:szCs w:val="22"/>
                <w:lang w:eastAsia="en-US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</w:r>
          </w:p>
        </w:tc>
        <w:tc>
          <w:tcPr>
            <w:tcW w:w="1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color w:val="000000"/>
                <w:kern w:val="2"/>
                <w:sz w:val="22"/>
                <w:szCs w:val="22"/>
                <w:lang w:eastAsia="en-US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</w:r>
          </w:p>
        </w:tc>
        <w:tc>
          <w:tcPr>
            <w:tcW w:w="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hanging="40"/>
              <w:jc w:val="center"/>
              <w:rPr>
                <w:color w:val="000000"/>
                <w:kern w:val="2"/>
                <w:sz w:val="22"/>
                <w:szCs w:val="22"/>
                <w:lang w:eastAsia="en-US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317" w:hanging="317"/>
              <w:jc w:val="center"/>
              <w:rPr>
                <w:color w:val="000000"/>
                <w:kern w:val="2"/>
                <w:sz w:val="22"/>
                <w:szCs w:val="22"/>
                <w:lang w:eastAsia="en-US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</w:r>
          </w:p>
        </w:tc>
        <w:tc>
          <w:tcPr>
            <w:tcW w:w="6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317" w:hanging="317"/>
              <w:jc w:val="center"/>
              <w:rPr>
                <w:color w:val="000000"/>
                <w:kern w:val="2"/>
                <w:sz w:val="22"/>
                <w:szCs w:val="22"/>
                <w:lang w:eastAsia="en-US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kern w:val="2"/>
                <w:sz w:val="22"/>
                <w:szCs w:val="22"/>
                <w:lang w:eastAsia="en-US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2021 год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kern w:val="2"/>
                <w:sz w:val="22"/>
                <w:szCs w:val="22"/>
                <w:lang w:eastAsia="en-US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2022 год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kern w:val="2"/>
                <w:sz w:val="22"/>
                <w:szCs w:val="22"/>
                <w:lang w:eastAsia="en-US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2023 год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kern w:val="2"/>
                <w:sz w:val="22"/>
                <w:szCs w:val="22"/>
                <w:lang w:eastAsia="en-US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kern w:val="2"/>
                <w:sz w:val="22"/>
                <w:szCs w:val="22"/>
                <w:lang w:eastAsia="en-US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kern w:val="2"/>
                <w:sz w:val="22"/>
                <w:szCs w:val="22"/>
                <w:lang w:eastAsia="en-US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40"/>
              <w:jc w:val="center"/>
              <w:rPr>
                <w:color w:val="000000"/>
                <w:kern w:val="2"/>
                <w:sz w:val="22"/>
                <w:szCs w:val="22"/>
                <w:lang w:eastAsia="en-US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17" w:hanging="317"/>
              <w:jc w:val="center"/>
              <w:rPr>
                <w:color w:val="000000"/>
                <w:kern w:val="2"/>
                <w:sz w:val="22"/>
                <w:szCs w:val="22"/>
                <w:lang w:eastAsia="en-US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5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17" w:hanging="317"/>
              <w:jc w:val="center"/>
              <w:rPr>
                <w:color w:val="000000"/>
                <w:kern w:val="2"/>
                <w:sz w:val="22"/>
                <w:szCs w:val="22"/>
                <w:lang w:eastAsia="en-US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6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kern w:val="2"/>
                <w:sz w:val="22"/>
                <w:szCs w:val="22"/>
                <w:lang w:eastAsia="en-US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7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kern w:val="2"/>
                <w:sz w:val="22"/>
                <w:szCs w:val="22"/>
                <w:lang w:eastAsia="en-US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kern w:val="2"/>
                <w:sz w:val="22"/>
                <w:szCs w:val="22"/>
                <w:lang w:eastAsia="en-US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98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Цель: Ликвидации непригодного для проживания, аварийного жилищного фонда</w:t>
            </w:r>
          </w:p>
        </w:tc>
      </w:tr>
      <w:tr>
        <w:trPr>
          <w:trHeight w:val="375" w:hRule="atLeast"/>
        </w:trPr>
        <w:tc>
          <w:tcPr>
            <w:tcW w:w="98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0" w:right="57" w:hanging="0"/>
              <w:jc w:val="left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Задача 1: Формирование жилищного фонда, необходимого для переселения граждан из                      непригодного, аварийного жилищного фонда. Обеспечение жилищных прав граждан, проживающих в жилых помещениях муниципального жилищного фонда,  находящихся в непригодных, аварийных         многоквартирных домах. Обеспечение жилищных прав собственников изымаемых жилых                помещений, находящихся в непригодных, аварийных МКД.</w:t>
            </w:r>
          </w:p>
        </w:tc>
      </w:tr>
      <w:tr>
        <w:trPr>
          <w:trHeight w:val="733" w:hRule="atLeast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1.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Приобретение благоустроенных жилых помещений (квартир) для расселения        непригодных,        аварийных МКД.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/>
              <w:ind w:left="-45" w:right="-64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УИиЗО,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31" w:hanging="0"/>
              <w:jc w:val="center"/>
              <w:rPr/>
            </w:pPr>
            <w:r>
              <w:rPr>
                <w:sz w:val="22"/>
                <w:szCs w:val="22"/>
              </w:rPr>
              <w:t xml:space="preserve">УАиГ,  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МУ «Управление строительства»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ind w:left="-45" w:right="-64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2021-2023 годы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ind w:left="-45" w:right="-64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false"/>
              <w:bidi w:val="0"/>
              <w:spacing w:lineRule="auto" w:line="240" w:before="0" w:after="0"/>
              <w:ind w:left="57" w:right="-57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1.1.1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ind w:left="-45" w:right="-64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176,0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false"/>
              <w:bidi w:val="0"/>
              <w:spacing w:lineRule="auto" w:line="240" w:before="0" w:after="0"/>
              <w:ind w:left="-57" w:right="-57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213,0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ind w:left="-45" w:right="-64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161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,0</w:t>
            </w:r>
          </w:p>
        </w:tc>
      </w:tr>
      <w:tr>
        <w:trPr>
          <w:trHeight w:val="375" w:hRule="atLeast"/>
        </w:trPr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color w:val="000000"/>
                <w:kern w:val="2"/>
                <w:sz w:val="22"/>
                <w:szCs w:val="22"/>
                <w:lang w:eastAsia="en-US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</w:r>
          </w:p>
        </w:tc>
        <w:tc>
          <w:tcPr>
            <w:tcW w:w="2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ind w:left="-45" w:right="-64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ind w:left="-45" w:right="-64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ind w:left="-45" w:right="-64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Област-     ной      бюджет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ind w:left="-57" w:right="227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ind w:left="-45" w:right="-64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141 271,1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5" w:right="-64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211 653,1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ind w:left="-45" w:right="-64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160 000,0</w:t>
            </w:r>
          </w:p>
        </w:tc>
      </w:tr>
      <w:tr>
        <w:trPr>
          <w:trHeight w:val="375" w:hRule="atLeast"/>
        </w:trPr>
        <w:tc>
          <w:tcPr>
            <w:tcW w:w="98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Задача 2. Переселение жителей МКД, признанных непригодными для проживания, аварийными и подлежащими сносу или реконструкции.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1.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Расселение              непригодных,        аварийных МКД.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ind w:left="-45" w:right="-6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УИиЗО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ind w:left="-45" w:right="-6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2021-2023 годы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ind w:left="-45" w:right="-6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17" w:hanging="317"/>
              <w:jc w:val="center"/>
              <w:rPr/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1.2.1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kern w:val="2"/>
                <w:sz w:val="24"/>
                <w:szCs w:val="24"/>
                <w:lang w:eastAsia="en-US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-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kern w:val="2"/>
                <w:sz w:val="24"/>
                <w:szCs w:val="24"/>
                <w:lang w:eastAsia="en-US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2.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Переселение жителей непригодных,        аварийных МКД.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ind w:left="-45" w:right="-6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УИиЗО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ind w:left="-45" w:right="-6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2021-2023 годы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ind w:left="-45" w:right="-6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17" w:hanging="317"/>
              <w:jc w:val="center"/>
              <w:rPr/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1.2.2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kern w:val="2"/>
                <w:sz w:val="24"/>
                <w:szCs w:val="24"/>
                <w:lang w:eastAsia="en-US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-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kern w:val="2"/>
                <w:sz w:val="24"/>
                <w:szCs w:val="24"/>
                <w:lang w:eastAsia="en-US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47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ind w:left="-45" w:right="-64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ind w:left="-45" w:right="-6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176,0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false"/>
              <w:bidi w:val="0"/>
              <w:spacing w:lineRule="auto" w:line="240" w:before="0" w:after="0"/>
              <w:ind w:left="-57" w:right="-57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213,0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/>
            </w:pPr>
            <w:r>
              <w:rPr>
                <w:color w:val="000000"/>
                <w:kern w:val="2"/>
                <w:sz w:val="22"/>
                <w:szCs w:val="28"/>
                <w:lang w:eastAsia="en-US" w:bidi="hi-IN"/>
              </w:rPr>
              <w:t>161,0</w:t>
            </w:r>
          </w:p>
        </w:tc>
      </w:tr>
      <w:tr>
        <w:trPr>
          <w:trHeight w:val="375" w:hRule="atLeast"/>
        </w:trPr>
        <w:tc>
          <w:tcPr>
            <w:tcW w:w="470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napToGrid w:val="false"/>
              <w:ind w:left="-45" w:right="-64" w:hanging="0"/>
              <w:jc w:val="left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  <w:lang w:eastAsia="en-US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2"/>
                <w:szCs w:val="22"/>
                <w:lang w:eastAsia="en-US" w:bidi="hi-IN"/>
              </w:rPr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Областной       бюджет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ind w:left="-45" w:right="-64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141 271,1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5" w:right="-64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211 653,1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000000"/>
                <w:kern w:val="2"/>
                <w:sz w:val="22"/>
                <w:szCs w:val="28"/>
                <w:lang w:eastAsia="en-US" w:bidi="hi-IN"/>
              </w:rPr>
              <w:t>160 000,0</w:t>
            </w:r>
          </w:p>
        </w:tc>
      </w:tr>
      <w:tr>
        <w:trPr>
          <w:trHeight w:val="375" w:hRule="atLeast"/>
        </w:trPr>
        <w:tc>
          <w:tcPr>
            <w:tcW w:w="4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ind w:left="-45" w:right="-64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513 474,2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ind w:left="-45" w:right="-64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141 447,1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5" w:right="-64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211 866,1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color w:val="000000"/>
                <w:kern w:val="2"/>
                <w:sz w:val="22"/>
                <w:szCs w:val="28"/>
                <w:lang w:eastAsia="en-US" w:bidi="hi-IN"/>
              </w:rPr>
              <w:t>160 161,0</w:t>
            </w: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»</w:t>
            </w:r>
          </w:p>
        </w:tc>
      </w:tr>
    </w:tbl>
    <w:p>
      <w:pPr>
        <w:pStyle w:val="Normal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5. Пункт 15 раздела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V </w:t>
      </w:r>
      <w:r>
        <w:rPr>
          <w:rFonts w:ascii="Times New Roman" w:hAnsi="Times New Roman"/>
          <w:color w:val="000000"/>
          <w:sz w:val="28"/>
          <w:szCs w:val="28"/>
        </w:rPr>
        <w:t>паспорта муниципальной программы изложить в следующей редакции:</w:t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«15. Реализация муниципальной программы должна обеспечить              достижение следующих показателей:</w:t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- расселение МКД, общей площадью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14 635,8</w:t>
      </w:r>
      <w:r>
        <w:rPr>
          <w:rFonts w:ascii="Times New Roman" w:hAnsi="Times New Roman"/>
          <w:color w:val="000000"/>
          <w:sz w:val="28"/>
          <w:szCs w:val="28"/>
        </w:rPr>
        <w:t xml:space="preserve"> кв.м., признанных               непригодными для проживания, аварийными и подлежащими сносу или             реконструкции в связи с физическим износом в процессе их эксплуатации;</w:t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- переселение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1070</w:t>
      </w:r>
      <w:r>
        <w:rPr>
          <w:rFonts w:ascii="Times New Roman" w:hAnsi="Times New Roman"/>
          <w:color w:val="000000"/>
          <w:sz w:val="28"/>
          <w:szCs w:val="28"/>
        </w:rPr>
        <w:t xml:space="preserve"> жителей МКД,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признанных непригодными для           проживания, аварийными и подлежащими сносу или реконструкции в связи с физическим износом в процессе их эксплуатации.»</w:t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6.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Таблицу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en-US"/>
        </w:rPr>
        <w:t>4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пункта 16 раздела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паспорта муниципальной программы     изложить в следующей редакции:</w:t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«Сведения о целевых показателях (индикаторах) муниципальной            программы и их значениях.</w:t>
      </w:r>
    </w:p>
    <w:p>
      <w:pPr>
        <w:pStyle w:val="ConsPlusNonformat"/>
        <w:widowControl/>
        <w:tabs>
          <w:tab w:val="clear" w:pos="708"/>
          <w:tab w:val="left" w:pos="266" w:leader="none"/>
          <w:tab w:val="left" w:pos="1134" w:leader="none"/>
        </w:tabs>
        <w:spacing w:before="0" w:after="0"/>
        <w:contextualSpacing/>
        <w:jc w:val="right"/>
        <w:rPr/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Таблица 4</w:t>
      </w:r>
    </w:p>
    <w:tbl>
      <w:tblPr>
        <w:tblW w:w="96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3357"/>
        <w:gridCol w:w="1238"/>
        <w:gridCol w:w="1131"/>
        <w:gridCol w:w="1137"/>
        <w:gridCol w:w="1038"/>
        <w:gridCol w:w="890"/>
      </w:tblGrid>
      <w:tr>
        <w:trPr/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cs="Liberation Serif;Times New Roman" w:ascii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  <w:t>№</w:t>
            </w:r>
            <w:r>
              <w:rPr>
                <w:rFonts w:eastAsia="Liberation Serif;Times New Roman" w:cs="Liberation Serif;Times New Roman" w:ascii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</w:t>
            </w:r>
            <w:r>
              <w:rPr>
                <w:rFonts w:cs="Liberation Serif;Times New Roman" w:ascii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  <w:t>п/п</w:t>
            </w:r>
          </w:p>
        </w:tc>
        <w:tc>
          <w:tcPr>
            <w:tcW w:w="3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cs="Liberation Serif;Times New Roman" w:ascii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  <w:t>Наименование целевого        показателя (индикатора)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9" w:hanging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cs="Liberation Serif;Times New Roman" w:ascii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  <w:t>Единица измерения</w:t>
            </w:r>
          </w:p>
        </w:tc>
        <w:tc>
          <w:tcPr>
            <w:tcW w:w="4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cs="Liberation Serif;Times New Roman" w:ascii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  <w:t>Значение целевых показателей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cs="Liberation Serif;Times New Roman" w:ascii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  <w:t>(индикаторов)</w:t>
            </w:r>
          </w:p>
        </w:tc>
      </w:tr>
      <w:tr>
        <w:trPr/>
        <w:tc>
          <w:tcPr>
            <w:tcW w:w="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Liberation Serif;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cs="Liberation Serif;Times New Roman" w:ascii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</w:r>
          </w:p>
        </w:tc>
        <w:tc>
          <w:tcPr>
            <w:tcW w:w="33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Liberation Serif;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cs="Liberation Serif;Times New Roman" w:ascii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</w:r>
          </w:p>
        </w:tc>
        <w:tc>
          <w:tcPr>
            <w:tcW w:w="12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Liberation Serif;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cs="Liberation Serif;Times New Roman" w:ascii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Liberation Serif;Times New Roman" w:ascii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  <w:t>2021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cs="Liberation Serif;Times New Roman" w:ascii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  <w:t>2022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cs="Liberation Serif;Times New Roman" w:ascii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  <w:t>2023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Liberation Serif;Times New Roman" w:ascii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  <w:t>Всего 2021– 2023</w:t>
            </w:r>
          </w:p>
        </w:tc>
      </w:tr>
      <w:tr>
        <w:trPr/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cs="Liberation Serif;Times New Roman" w:ascii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cs="Liberation Serif;Times New Roman" w:ascii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cs="Liberation Serif;Times New Roman" w:ascii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Liberation Serif;Times New Roman" w:ascii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Liberation Serif;Times New Roman" w:ascii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Liberation Serif;Times New Roman" w:ascii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  <w:t>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Liberation Serif;Times New Roman" w:ascii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  <w:t>7</w:t>
            </w:r>
          </w:p>
        </w:tc>
      </w:tr>
      <w:tr>
        <w:trPr/>
        <w:tc>
          <w:tcPr>
            <w:tcW w:w="9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Ликвидация непригодного для проживания, аварийного жилищного фонда</w:t>
            </w:r>
          </w:p>
        </w:tc>
      </w:tr>
      <w:tr>
        <w:trPr>
          <w:cantSplit w:val="true"/>
        </w:trPr>
        <w:tc>
          <w:tcPr>
            <w:tcW w:w="9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 1: Формирование жилищного фонда, необходимого для переселения граждан из     непригодного, аварийного жилищного фонда. Обеспечение жилищных прав граждан,     проживающих в жилых помещениях муниципального жилищного фонда, находящихся в непригодных, аварийных многоквартирных домах. Обеспечение жилищных прав            собственников изымаемых жилых помещений, находящихся в непригодных, аварийных МКД.</w:t>
            </w:r>
          </w:p>
        </w:tc>
      </w:tr>
      <w:tr>
        <w:trPr/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2" w:hanging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cs="Liberation Serif;Times New Roman" w:ascii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  <w:t>1.1.1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квадратных метров, построенных (приобретенных) жилых помещений (квартир).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Тысяча квадратных метров общей площади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3,9892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/>
                <w:sz w:val="20"/>
                <w:szCs w:val="20"/>
              </w:rPr>
              <w:t>1398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3,1325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11,</w:t>
            </w:r>
            <w:r>
              <w:rPr>
                <w:rFonts w:ascii="Times New Roman" w:hAnsi="Times New Roman"/>
                <w:sz w:val="20"/>
                <w:szCs w:val="20"/>
              </w:rPr>
              <w:t>2615</w:t>
            </w:r>
          </w:p>
        </w:tc>
      </w:tr>
      <w:tr>
        <w:trPr/>
        <w:tc>
          <w:tcPr>
            <w:tcW w:w="9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 2. Переселение жителей МКД, признанных непригодными для проживания, аварийными и подлежащими сносу или реконструкции.</w:t>
            </w:r>
          </w:p>
        </w:tc>
      </w:tr>
      <w:tr>
        <w:trPr/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  <w:t>1.2.1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квадратных метров, расселенного непригодного, аварийного жилищного фонда.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Тысяча квадратных метров общей площади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0,8115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11,2081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2,6162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14,6358</w:t>
            </w:r>
          </w:p>
        </w:tc>
      </w:tr>
      <w:tr>
        <w:trPr/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  <w:t>1.2.2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граждан, расселенных из непригодного, аварийного жилищного фонда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Тысяча человек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0,075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0,144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1,007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>
      <w:pPr>
        <w:pStyle w:val="ConsPlusNonformat"/>
        <w:widowControl/>
        <w:tabs>
          <w:tab w:val="clear" w:pos="708"/>
          <w:tab w:val="left" w:pos="266" w:leader="none"/>
          <w:tab w:val="left" w:pos="1134" w:leader="none"/>
        </w:tabs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ConsPlusNonformat"/>
        <w:widowControl/>
        <w:tabs>
          <w:tab w:val="clear" w:pos="708"/>
          <w:tab w:val="left" w:pos="266" w:leader="none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cs="Times New Roman"/>
          <w:b w:val="false"/>
          <w:b w:val="false"/>
          <w:bCs w:val="false"/>
        </w:rPr>
      </w:pPr>
      <w:r>
        <w:rPr>
          <w:rFonts w:cs="Times New Roman"/>
          <w:b w:val="false"/>
          <w:bCs w:val="false"/>
        </w:rPr>
      </w:r>
    </w:p>
    <w:p>
      <w:pPr>
        <w:pStyle w:val="ConsPlusNonformat"/>
        <w:widowControl/>
        <w:tabs>
          <w:tab w:val="clear" w:pos="708"/>
          <w:tab w:val="left" w:pos="266" w:leader="none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cs="Times New Roman"/>
          <w:b w:val="false"/>
          <w:b w:val="false"/>
          <w:bCs w:val="false"/>
        </w:rPr>
      </w:pPr>
      <w:r>
        <w:rPr>
          <w:rFonts w:cs="Times New Roman"/>
          <w:b w:val="false"/>
          <w:bCs w:val="false"/>
        </w:rPr>
      </w:r>
    </w:p>
    <w:p>
      <w:pPr>
        <w:pStyle w:val="ConsPlusNonformat"/>
        <w:widowControl/>
        <w:tabs>
          <w:tab w:val="clear" w:pos="708"/>
          <w:tab w:val="left" w:pos="266" w:leader="none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cs="Times New Roman"/>
          <w:b w:val="false"/>
          <w:b w:val="false"/>
          <w:bCs w:val="false"/>
        </w:rPr>
      </w:pPr>
      <w:r>
        <w:rPr>
          <w:rFonts w:cs="Times New Roman"/>
          <w:b w:val="false"/>
          <w:bCs w:val="false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</w:tabs>
        <w:suppressAutoHyphens w:val="false"/>
        <w:bidi w:val="0"/>
        <w:spacing w:lineRule="auto" w:line="240" w:before="0" w:after="0"/>
        <w:ind w:right="0"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Начальник управления по имуществу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</w:tabs>
        <w:suppressAutoHyphens w:val="false"/>
        <w:bidi w:val="0"/>
        <w:spacing w:lineRule="auto" w:line="240" w:before="0" w:after="0"/>
        <w:ind w:right="0"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и земельным отношениям администрации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</w:tabs>
        <w:suppressAutoHyphens w:val="false"/>
        <w:bidi w:val="0"/>
        <w:spacing w:lineRule="auto" w:line="240" w:before="0" w:after="0"/>
        <w:ind w:right="0"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Копейского городского округа                                                             Ж.А. Буркова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ymbol">
    <w:altName w:val="MT Extra"/>
    <w:charset w:val="cc"/>
    <w:family w:val="roman"/>
    <w:pitch w:val="variable"/>
  </w:font>
  <w:font w:name="Courier New">
    <w:altName w:val="Letter Gothic"/>
    <w:charset w:val="cc"/>
    <w:family w:val="roman"/>
    <w:pitch w:val="variable"/>
  </w:font>
  <w:font w:name="Wingdings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Times New Roman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3"/>
      <w:numFmt w:val="decimal"/>
      <w:lvlText w:val="%1)"/>
      <w:lvlJc w:val="left"/>
      <w:pPr>
        <w:tabs>
          <w:tab w:val="num" w:pos="1072"/>
        </w:tabs>
        <w:ind w:left="0" w:hanging="-737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6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;Times New Roman" w:hAnsi="Times New Roman;Times New Roman" w:eastAsia="Times New Roman;Times New Roman" w:cs="Times New Roman;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b/>
      <w:bCs/>
      <w:sz w:val="18"/>
      <w:szCs w:val="18"/>
    </w:rPr>
  </w:style>
  <w:style w:type="paragraph" w:styleId="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numPr>
        <w:ilvl w:val="0"/>
        <w:numId w:val="1"/>
      </w:numPr>
      <w:spacing w:lineRule="auto" w:line="360" w:before="240" w:after="60"/>
      <w:jc w:val="both"/>
      <w:outlineLvl w:val="0"/>
    </w:pPr>
    <w:rPr>
      <w:rFonts w:cs="Arial;Times New Roman"/>
      <w:bCs/>
      <w:sz w:val="28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cs="Times New Roman;Times New Roman"/>
    </w:rPr>
  </w:style>
  <w:style w:type="character" w:styleId="WW8Num2z0" w:customStyle="1">
    <w:name w:val="WW8Num2z0"/>
    <w:qFormat/>
    <w:rPr>
      <w:rFonts w:ascii="Symbol;MT Extra" w:hAnsi="Symbol;MT Extra" w:cs="Symbol;MT Extra"/>
      <w:sz w:val="24"/>
      <w:szCs w:val="24"/>
    </w:rPr>
  </w:style>
  <w:style w:type="character" w:styleId="WW8Num3z0" w:customStyle="1">
    <w:name w:val="WW8Num3z0"/>
    <w:qFormat/>
    <w:rPr>
      <w:rFonts w:ascii="Symbol;MT Extra" w:hAnsi="Symbol;MT Extra" w:cs="Symbol;MT Extra"/>
      <w:color w:val="000000"/>
      <w:sz w:val="28"/>
      <w:szCs w:val="28"/>
    </w:rPr>
  </w:style>
  <w:style w:type="character" w:styleId="WW8Num4z0" w:customStyle="1">
    <w:name w:val="WW8Num4z0"/>
    <w:qFormat/>
    <w:rPr>
      <w:color w:val="000000"/>
      <w:sz w:val="28"/>
      <w:szCs w:val="28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>
      <w:rFonts w:ascii="Symbol;MT Extra" w:hAnsi="Symbol;MT Extra" w:cs="Symbol;MT Extra"/>
    </w:rPr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Symbol;MT Extra" w:hAnsi="Symbol;MT Extra" w:cs="Symbol;MT Extra"/>
    </w:rPr>
  </w:style>
  <w:style w:type="character" w:styleId="WW8Num6z1" w:customStyle="1">
    <w:name w:val="WW8Num6z1"/>
    <w:qFormat/>
    <w:rPr>
      <w:rFonts w:ascii="Courier New;Letter Gothic" w:hAnsi="Courier New;Letter Gothic" w:cs="Courier New;Letter Gothic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7z0" w:customStyle="1">
    <w:name w:val="WW8Num7z0"/>
    <w:qFormat/>
    <w:rPr>
      <w:rFonts w:ascii="Symbol;MT Extra" w:hAnsi="Symbol;MT Extra" w:cs="Symbol;MT Extra"/>
    </w:rPr>
  </w:style>
  <w:style w:type="character" w:styleId="WW8Num7z1" w:customStyle="1">
    <w:name w:val="WW8Num7z1"/>
    <w:qFormat/>
    <w:rPr>
      <w:rFonts w:ascii="Courier New;Letter Gothic" w:hAnsi="Courier New;Letter Gothic" w:cs="Courier New;Letter Gothic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11" w:customStyle="1">
    <w:name w:val="Заголовок 1 Знак"/>
    <w:qFormat/>
    <w:rPr>
      <w:b/>
      <w:bCs/>
      <w:sz w:val="18"/>
      <w:szCs w:val="18"/>
      <w:lang w:val="ru-RU" w:bidi="ar-SA"/>
    </w:rPr>
  </w:style>
  <w:style w:type="character" w:styleId="21" w:customStyle="1">
    <w:name w:val="Заголовок 2 Знак"/>
    <w:qFormat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styleId="31" w:customStyle="1">
    <w:name w:val="Заголовок 3 Знак"/>
    <w:qFormat/>
    <w:rPr>
      <w:rFonts w:cs="Arial;Times New Roman"/>
      <w:bCs/>
      <w:sz w:val="28"/>
      <w:szCs w:val="26"/>
    </w:rPr>
  </w:style>
  <w:style w:type="character" w:styleId="313" w:customStyle="1">
    <w:name w:val="Стиль Заголовок 3 + 13 пт Знак"/>
    <w:qFormat/>
    <w:rPr>
      <w:rFonts w:cs="Arial;Times New Roman"/>
      <w:bCs w:val="false"/>
      <w:sz w:val="28"/>
      <w:szCs w:val="26"/>
    </w:rPr>
  </w:style>
  <w:style w:type="character" w:styleId="22" w:customStyle="1">
    <w:name w:val="Основной текст 2 Знак"/>
    <w:qFormat/>
    <w:rPr>
      <w:sz w:val="24"/>
      <w:szCs w:val="24"/>
      <w:lang w:val="ru-RU" w:bidi="ar-SA"/>
    </w:rPr>
  </w:style>
  <w:style w:type="character" w:styleId="Style11" w:customStyle="1">
    <w:name w:val="Верхний колонтитул Знак"/>
    <w:qFormat/>
    <w:rPr>
      <w:rFonts w:ascii="Calibri" w:hAnsi="Calibri" w:cs="Calibri"/>
      <w:sz w:val="22"/>
      <w:szCs w:val="22"/>
      <w:lang w:val="ru-RU" w:bidi="ar-SA"/>
    </w:rPr>
  </w:style>
  <w:style w:type="character" w:styleId="Style12" w:customStyle="1">
    <w:name w:val="Текст выноски Знак"/>
    <w:qFormat/>
    <w:rPr>
      <w:rFonts w:ascii="Tahoma" w:hAnsi="Tahoma" w:cs="Tahoma"/>
      <w:sz w:val="16"/>
      <w:szCs w:val="16"/>
      <w:lang w:val="ru-RU" w:bidi="ar-SA"/>
    </w:rPr>
  </w:style>
  <w:style w:type="character" w:styleId="Pagenumber">
    <w:name w:val="page number"/>
    <w:basedOn w:val="DefaultParagraphFont"/>
    <w:qFormat/>
    <w:rPr/>
  </w:style>
  <w:style w:type="character" w:styleId="Style13" w:customStyle="1">
    <w:name w:val="Нижний колонтитул Знак"/>
    <w:qFormat/>
    <w:rPr>
      <w:sz w:val="24"/>
      <w:szCs w:val="24"/>
    </w:rPr>
  </w:style>
  <w:style w:type="character" w:styleId="Style14">
    <w:name w:val="Выделение"/>
    <w:qFormat/>
    <w:rPr>
      <w:i/>
      <w:iCs/>
    </w:rPr>
  </w:style>
  <w:style w:type="character" w:styleId="Style15" w:customStyle="1">
    <w:name w:val="Интернет-ссылка"/>
    <w:rPr>
      <w:color w:val="000080"/>
      <w:u w:val="single"/>
    </w:rPr>
  </w:style>
  <w:style w:type="character" w:styleId="ListLabel1" w:customStyle="1">
    <w:name w:val="ListLabel 1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2" w:customStyle="1">
    <w:name w:val="ListLabel 2"/>
    <w:qFormat/>
    <w:rPr>
      <w:color w:val="000000"/>
      <w:sz w:val="28"/>
      <w:szCs w:val="28"/>
    </w:rPr>
  </w:style>
  <w:style w:type="character" w:styleId="ListLabel3" w:customStyle="1">
    <w:name w:val="ListLabel 3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4" w:customStyle="1">
    <w:name w:val="ListLabel 4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5" w:customStyle="1">
    <w:name w:val="ListLabel 5"/>
    <w:qFormat/>
    <w:rPr>
      <w:color w:val="000000"/>
      <w:sz w:val="28"/>
      <w:szCs w:val="28"/>
    </w:rPr>
  </w:style>
  <w:style w:type="character" w:styleId="ListLabel6" w:customStyle="1">
    <w:name w:val="ListLabel 6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7" w:customStyle="1">
    <w:name w:val="ListLabel 7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8" w:customStyle="1">
    <w:name w:val="ListLabel 8"/>
    <w:qFormat/>
    <w:rPr>
      <w:color w:val="000000"/>
      <w:sz w:val="28"/>
      <w:szCs w:val="28"/>
    </w:rPr>
  </w:style>
  <w:style w:type="character" w:styleId="ListLabel9" w:customStyle="1">
    <w:name w:val="ListLabel 9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10" w:customStyle="1">
    <w:name w:val="ListLabel 10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11" w:customStyle="1">
    <w:name w:val="ListLabel 11"/>
    <w:qFormat/>
    <w:rPr>
      <w:color w:val="000000"/>
      <w:sz w:val="28"/>
      <w:szCs w:val="28"/>
    </w:rPr>
  </w:style>
  <w:style w:type="character" w:styleId="ListLabel12" w:customStyle="1">
    <w:name w:val="ListLabel 12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13" w:customStyle="1">
    <w:name w:val="ListLabel 13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14" w:customStyle="1">
    <w:name w:val="ListLabel 14"/>
    <w:qFormat/>
    <w:rPr>
      <w:color w:val="000000"/>
      <w:sz w:val="28"/>
      <w:szCs w:val="28"/>
    </w:rPr>
  </w:style>
  <w:style w:type="character" w:styleId="ListLabel15" w:customStyle="1">
    <w:name w:val="ListLabel 15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16">
    <w:name w:val="ListLabel 16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17">
    <w:name w:val="ListLabel 17"/>
    <w:qFormat/>
    <w:rPr>
      <w:color w:val="000000"/>
      <w:sz w:val="28"/>
      <w:szCs w:val="28"/>
    </w:rPr>
  </w:style>
  <w:style w:type="character" w:styleId="ListLabel18">
    <w:name w:val="ListLabel 18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19">
    <w:name w:val="ListLabel 19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20">
    <w:name w:val="ListLabel 20"/>
    <w:qFormat/>
    <w:rPr>
      <w:color w:val="000000"/>
      <w:sz w:val="28"/>
      <w:szCs w:val="28"/>
    </w:rPr>
  </w:style>
  <w:style w:type="character" w:styleId="ListLabel21">
    <w:name w:val="ListLabel 21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22">
    <w:name w:val="ListLabel 22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23">
    <w:name w:val="ListLabel 23"/>
    <w:qFormat/>
    <w:rPr>
      <w:color w:val="000000"/>
      <w:sz w:val="28"/>
      <w:szCs w:val="28"/>
    </w:rPr>
  </w:style>
  <w:style w:type="character" w:styleId="ListLabel24">
    <w:name w:val="ListLabel 24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25">
    <w:name w:val="ListLabel 25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26">
    <w:name w:val="ListLabel 26"/>
    <w:qFormat/>
    <w:rPr>
      <w:color w:val="000000"/>
      <w:sz w:val="28"/>
      <w:szCs w:val="28"/>
    </w:rPr>
  </w:style>
  <w:style w:type="character" w:styleId="ListLabel27">
    <w:name w:val="ListLabel 27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28">
    <w:name w:val="ListLabel 28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29">
    <w:name w:val="ListLabel 29"/>
    <w:qFormat/>
    <w:rPr>
      <w:color w:val="000000"/>
      <w:sz w:val="28"/>
      <w:szCs w:val="28"/>
    </w:rPr>
  </w:style>
  <w:style w:type="character" w:styleId="ListLabel30">
    <w:name w:val="ListLabel 30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31">
    <w:name w:val="ListLabel 31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32">
    <w:name w:val="ListLabel 32"/>
    <w:qFormat/>
    <w:rPr>
      <w:color w:val="000000"/>
      <w:sz w:val="28"/>
      <w:szCs w:val="28"/>
    </w:rPr>
  </w:style>
  <w:style w:type="character" w:styleId="ListLabel33">
    <w:name w:val="ListLabel 33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34">
    <w:name w:val="ListLabel 34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35">
    <w:name w:val="ListLabel 35"/>
    <w:qFormat/>
    <w:rPr>
      <w:color w:val="000000"/>
      <w:sz w:val="28"/>
      <w:szCs w:val="28"/>
    </w:rPr>
  </w:style>
  <w:style w:type="character" w:styleId="ListLabel36">
    <w:name w:val="ListLabel 36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37">
    <w:name w:val="ListLabel 37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38">
    <w:name w:val="ListLabel 38"/>
    <w:qFormat/>
    <w:rPr>
      <w:color w:val="000000"/>
      <w:sz w:val="28"/>
      <w:szCs w:val="28"/>
    </w:rPr>
  </w:style>
  <w:style w:type="character" w:styleId="ListLabel39">
    <w:name w:val="ListLabel 39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40">
    <w:name w:val="ListLabel 40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41">
    <w:name w:val="ListLabel 41"/>
    <w:qFormat/>
    <w:rPr>
      <w:color w:val="000000"/>
      <w:sz w:val="28"/>
      <w:szCs w:val="28"/>
    </w:rPr>
  </w:style>
  <w:style w:type="character" w:styleId="ListLabel42">
    <w:name w:val="ListLabel 42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43">
    <w:name w:val="ListLabel 43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44">
    <w:name w:val="ListLabel 44"/>
    <w:qFormat/>
    <w:rPr>
      <w:color w:val="000000"/>
      <w:sz w:val="28"/>
      <w:szCs w:val="28"/>
    </w:rPr>
  </w:style>
  <w:style w:type="character" w:styleId="ListLabel45">
    <w:name w:val="ListLabel 45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46">
    <w:name w:val="ListLabel 46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47">
    <w:name w:val="ListLabel 47"/>
    <w:qFormat/>
    <w:rPr>
      <w:color w:val="000000"/>
      <w:sz w:val="28"/>
      <w:szCs w:val="28"/>
    </w:rPr>
  </w:style>
  <w:style w:type="character" w:styleId="ListLabel48">
    <w:name w:val="ListLabel 48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49">
    <w:name w:val="ListLabel 49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50">
    <w:name w:val="ListLabel 50"/>
    <w:qFormat/>
    <w:rPr>
      <w:color w:val="000000"/>
      <w:sz w:val="28"/>
      <w:szCs w:val="28"/>
    </w:rPr>
  </w:style>
  <w:style w:type="character" w:styleId="ListLabel51">
    <w:name w:val="ListLabel 51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52">
    <w:name w:val="ListLabel 52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53">
    <w:name w:val="ListLabel 53"/>
    <w:qFormat/>
    <w:rPr>
      <w:color w:val="000000"/>
      <w:sz w:val="28"/>
      <w:szCs w:val="28"/>
    </w:rPr>
  </w:style>
  <w:style w:type="character" w:styleId="ListLabel54">
    <w:name w:val="ListLabel 54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55">
    <w:name w:val="ListLabel 55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56">
    <w:name w:val="ListLabel 56"/>
    <w:qFormat/>
    <w:rPr>
      <w:color w:val="000000"/>
      <w:sz w:val="28"/>
      <w:szCs w:val="28"/>
    </w:rPr>
  </w:style>
  <w:style w:type="character" w:styleId="ListLabel57">
    <w:name w:val="ListLabel 57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58">
    <w:name w:val="ListLabel 58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59">
    <w:name w:val="ListLabel 59"/>
    <w:qFormat/>
    <w:rPr>
      <w:color w:val="000000"/>
      <w:sz w:val="28"/>
      <w:szCs w:val="28"/>
    </w:rPr>
  </w:style>
  <w:style w:type="character" w:styleId="ListLabel60">
    <w:name w:val="ListLabel 60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61">
    <w:name w:val="ListLabel 61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62">
    <w:name w:val="ListLabel 62"/>
    <w:qFormat/>
    <w:rPr>
      <w:color w:val="000000"/>
      <w:sz w:val="28"/>
      <w:szCs w:val="28"/>
    </w:rPr>
  </w:style>
  <w:style w:type="character" w:styleId="ListLabel63">
    <w:name w:val="ListLabel 63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64">
    <w:name w:val="ListLabel 64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65">
    <w:name w:val="ListLabel 65"/>
    <w:qFormat/>
    <w:rPr>
      <w:color w:val="000000"/>
      <w:sz w:val="28"/>
      <w:szCs w:val="28"/>
    </w:rPr>
  </w:style>
  <w:style w:type="character" w:styleId="ListLabel66">
    <w:name w:val="ListLabel 66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560">
    <w:name w:val="ListLabel 560"/>
    <w:qFormat/>
    <w:rPr>
      <w:rFonts w:ascii="Times New Roman" w:hAnsi="Times New Roman" w:eastAsia="Times New Roman" w:cs="Times New Roman"/>
      <w:sz w:val="28"/>
    </w:rPr>
  </w:style>
  <w:style w:type="character" w:styleId="ListLabel561">
    <w:name w:val="ListLabel 561"/>
    <w:qFormat/>
    <w:rPr>
      <w:rFonts w:ascii="Times New Roman" w:hAnsi="Times New Roman" w:eastAsia="Times New Roman" w:cs="Times New Roman"/>
      <w:sz w:val="28"/>
    </w:rPr>
  </w:style>
  <w:style w:type="character" w:styleId="ListLabel562">
    <w:name w:val="ListLabel 562"/>
    <w:qFormat/>
    <w:rPr>
      <w:rFonts w:eastAsia="Times New Roman" w:cs="Times New Roman"/>
    </w:rPr>
  </w:style>
  <w:style w:type="character" w:styleId="ListLabel563">
    <w:name w:val="ListLabel 563"/>
    <w:qFormat/>
    <w:rPr>
      <w:rFonts w:eastAsia="Times New Roman" w:cs="Times New Roman"/>
    </w:rPr>
  </w:style>
  <w:style w:type="character" w:styleId="ListLabel564">
    <w:name w:val="ListLabel 564"/>
    <w:qFormat/>
    <w:rPr>
      <w:rFonts w:eastAsia="Times New Roman" w:cs="Times New Roman"/>
    </w:rPr>
  </w:style>
  <w:style w:type="character" w:styleId="ListLabel565">
    <w:name w:val="ListLabel 565"/>
    <w:qFormat/>
    <w:rPr>
      <w:rFonts w:eastAsia="Times New Roman" w:cs="Times New Roman"/>
    </w:rPr>
  </w:style>
  <w:style w:type="character" w:styleId="ListLabel566">
    <w:name w:val="ListLabel 566"/>
    <w:qFormat/>
    <w:rPr>
      <w:rFonts w:eastAsia="Times New Roman" w:cs="Times New Roman"/>
    </w:rPr>
  </w:style>
  <w:style w:type="character" w:styleId="ListLabel567">
    <w:name w:val="ListLabel 567"/>
    <w:qFormat/>
    <w:rPr>
      <w:rFonts w:eastAsia="Times New Roman" w:cs="Times New Roman"/>
    </w:rPr>
  </w:style>
  <w:style w:type="character" w:styleId="ListLabel568">
    <w:name w:val="ListLabel 568"/>
    <w:qFormat/>
    <w:rPr>
      <w:rFonts w:eastAsia="Times New Roman" w:cs="Times New Roman"/>
    </w:rPr>
  </w:style>
  <w:style w:type="character" w:styleId="ListLabel569">
    <w:name w:val="ListLabel 569"/>
    <w:qFormat/>
    <w:rPr>
      <w:rFonts w:eastAsia="Times New Roman" w:cs="Times New Roman"/>
      <w:sz w:val="28"/>
    </w:rPr>
  </w:style>
  <w:style w:type="character" w:styleId="ListLabel570">
    <w:name w:val="ListLabel 570"/>
    <w:qFormat/>
    <w:rPr>
      <w:rFonts w:eastAsia="Times New Roman" w:cs="Times New Roman"/>
      <w:sz w:val="28"/>
    </w:rPr>
  </w:style>
  <w:style w:type="character" w:styleId="ListLabel571">
    <w:name w:val="ListLabel 571"/>
    <w:qFormat/>
    <w:rPr>
      <w:rFonts w:eastAsia="Times New Roman" w:cs="Times New Roman"/>
    </w:rPr>
  </w:style>
  <w:style w:type="character" w:styleId="ListLabel572">
    <w:name w:val="ListLabel 572"/>
    <w:qFormat/>
    <w:rPr>
      <w:rFonts w:eastAsia="Times New Roman" w:cs="Times New Roman"/>
    </w:rPr>
  </w:style>
  <w:style w:type="character" w:styleId="ListLabel573">
    <w:name w:val="ListLabel 573"/>
    <w:qFormat/>
    <w:rPr>
      <w:rFonts w:eastAsia="Times New Roman" w:cs="Times New Roman"/>
    </w:rPr>
  </w:style>
  <w:style w:type="character" w:styleId="ListLabel574">
    <w:name w:val="ListLabel 574"/>
    <w:qFormat/>
    <w:rPr>
      <w:rFonts w:eastAsia="Times New Roman" w:cs="Times New Roman"/>
    </w:rPr>
  </w:style>
  <w:style w:type="character" w:styleId="ListLabel575">
    <w:name w:val="ListLabel 575"/>
    <w:qFormat/>
    <w:rPr>
      <w:rFonts w:eastAsia="Times New Roman" w:cs="Times New Roman"/>
    </w:rPr>
  </w:style>
  <w:style w:type="character" w:styleId="ListLabel576">
    <w:name w:val="ListLabel 576"/>
    <w:qFormat/>
    <w:rPr>
      <w:rFonts w:eastAsia="Times New Roman" w:cs="Times New Roman"/>
    </w:rPr>
  </w:style>
  <w:style w:type="character" w:styleId="ListLabel577">
    <w:name w:val="ListLabel 577"/>
    <w:qFormat/>
    <w:rPr>
      <w:rFonts w:eastAsia="Times New Roman" w:cs="Times New Roman"/>
    </w:rPr>
  </w:style>
  <w:style w:type="character" w:styleId="WW8Num13z0">
    <w:name w:val="WW8Num13z0"/>
    <w:qFormat/>
    <w:rPr>
      <w:rFonts w:cs="Times New Roman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ListLabel578">
    <w:name w:val="ListLabel 578"/>
    <w:qFormat/>
    <w:rPr>
      <w:rFonts w:cs="Times New Roman"/>
      <w:szCs w:val="28"/>
    </w:rPr>
  </w:style>
  <w:style w:type="paragraph" w:styleId="Style16" w:customStyle="1">
    <w:name w:val="Заголовок"/>
    <w:basedOn w:val="Normal"/>
    <w:next w:val="Style17"/>
    <w:qFormat/>
    <w:pPr>
      <w:jc w:val="center"/>
    </w:pPr>
    <w:rPr>
      <w:b/>
      <w:bCs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3131" w:customStyle="1">
    <w:name w:val="Стиль Заголовок 3 + 13 пт"/>
    <w:basedOn w:val="3"/>
    <w:qFormat/>
    <w:pPr>
      <w:numPr>
        <w:ilvl w:val="0"/>
        <w:numId w:val="0"/>
      </w:numPr>
    </w:pPr>
    <w:rPr>
      <w:bCs w:val="false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Title" w:customStyle="1">
    <w:name w:val="ConsPlusTitle"/>
    <w:qFormat/>
    <w:pPr>
      <w:widowControl w:val="false"/>
      <w:bidi w:val="0"/>
      <w:jc w:val="left"/>
    </w:pPr>
    <w:rPr>
      <w:rFonts w:ascii="Arial;Times New Roman" w:hAnsi="Arial;Times New Roman" w:eastAsia="Times New Roman;Times New Roman" w:cs="Arial;Times New Roman"/>
      <w:b/>
      <w:bCs/>
      <w:color w:val="auto"/>
      <w:kern w:val="0"/>
      <w:sz w:val="24"/>
      <w:szCs w:val="20"/>
      <w:lang w:val="ru-RU" w:eastAsia="zh-CN" w:bidi="ar-SA"/>
    </w:rPr>
  </w:style>
  <w:style w:type="paragraph" w:styleId="ListParagraph">
    <w:name w:val="List Paragraph"/>
    <w:basedOn w:val="Normal"/>
    <w:qFormat/>
    <w:pPr>
      <w:spacing w:lineRule="auto" w:line="240" w:before="0" w:after="200"/>
      <w:ind w:left="680" w:right="0" w:hanging="0"/>
      <w:contextualSpacing/>
    </w:pPr>
    <w:rPr>
      <w:rFonts w:ascii="Calibri" w:hAnsi="Calibri" w:cs="Calibri"/>
      <w:sz w:val="22"/>
      <w:szCs w:val="22"/>
    </w:rPr>
  </w:style>
  <w:style w:type="paragraph" w:styleId="Style21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76" w:before="0" w:after="20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2" w:customStyle="1">
    <w:name w:val="Знак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eastAsia="Calibri"/>
      <w:sz w:val="20"/>
      <w:szCs w:val="20"/>
    </w:rPr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napToGrid w:val="false"/>
      <w:jc w:val="left"/>
    </w:pPr>
    <w:rPr>
      <w:rFonts w:ascii="Courier New;Letter Gothic" w:hAnsi="Courier New;Letter Gothic" w:eastAsia="Times New Roman;Times New Roman" w:cs="Courier New;Letter Gothic"/>
      <w:color w:val="auto"/>
      <w:kern w:val="0"/>
      <w:sz w:val="24"/>
      <w:szCs w:val="20"/>
      <w:lang w:val="ru-RU" w:eastAsia="zh-CN" w:bidi="ar-SA"/>
    </w:rPr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Style26" w:customStyle="1">
    <w:name w:val="Содержимое врезки"/>
    <w:basedOn w:val="Normal"/>
    <w:qFormat/>
    <w:pPr/>
    <w:rPr/>
  </w:style>
  <w:style w:type="paragraph" w:styleId="ConsPlusNormal">
    <w:name w:val="ConsPlusNormal"/>
    <w:qFormat/>
    <w:pPr>
      <w:widowControl/>
      <w:suppressAutoHyphens w:val="true"/>
      <w:bidi w:val="0"/>
      <w:jc w:val="left"/>
      <w:textAlignment w:val="auto"/>
    </w:pPr>
    <w:rPr>
      <w:rFonts w:ascii="Arial" w:hAnsi="Arial" w:eastAsia="Times New Roman" w:cs="Liberation Serif"/>
      <w:color w:val="000000"/>
      <w:kern w:val="2"/>
      <w:sz w:val="20"/>
      <w:szCs w:val="20"/>
      <w:lang w:val="ru-RU" w:eastAsia="ru-RU" w:bidi="hi-IN"/>
    </w:rPr>
  </w:style>
  <w:style w:type="paragraph" w:styleId="C7e0e3eeebeee2eeea1">
    <w:name w:val="Зc7аe0гe3оeeлebоeeвe2оeeкea 1"/>
    <w:basedOn w:val="Normal"/>
    <w:qFormat/>
    <w:pPr>
      <w:keepNext w:val="true"/>
      <w:keepLines/>
      <w:widowControl/>
      <w:tabs>
        <w:tab w:val="clear" w:pos="708"/>
        <w:tab w:val="left" w:pos="0" w:leader="none"/>
      </w:tabs>
      <w:suppressAutoHyphens w:val="true"/>
      <w:spacing w:lineRule="auto" w:line="276"/>
      <w:jc w:val="center"/>
      <w:textAlignment w:val="auto"/>
    </w:pPr>
    <w:rPr>
      <w:rFonts w:ascii="Times New Roman" w:hAnsi="Times New Roman" w:eastAsia="Times New Roman" w:cs="Liberation Serif"/>
      <w:b/>
      <w:bCs/>
      <w:color w:val="365F91"/>
      <w:kern w:val="2"/>
      <w:sz w:val="28"/>
      <w:szCs w:val="28"/>
      <w:lang w:val="ru-RU" w:eastAsia="zh-CN" w:bidi="ar-SA"/>
    </w:rPr>
  </w:style>
  <w:style w:type="paragraph" w:styleId="23">
    <w:name w:val="Стиль2"/>
    <w:basedOn w:val="Normal"/>
    <w:qFormat/>
    <w:pPr>
      <w:spacing w:lineRule="auto" w:line="240" w:before="0" w:after="0"/>
      <w:ind w:left="0" w:right="0" w:firstLine="708"/>
      <w:jc w:val="both"/>
    </w:pPr>
    <w:rPr>
      <w:sz w:val="24"/>
      <w:szCs w:val="24"/>
    </w:rPr>
  </w:style>
  <w:style w:type="paragraph" w:styleId="Style27">
    <w:name w:val="Нормальный (таблица)"/>
    <w:basedOn w:val="Normal"/>
    <w:next w:val="Normal"/>
    <w:qFormat/>
    <w:pPr>
      <w:widowControl w:val="false"/>
      <w:suppressAutoHyphens w:val="false"/>
      <w:spacing w:lineRule="auto" w:line="240" w:before="0" w:after="0"/>
      <w:jc w:val="both"/>
    </w:pPr>
    <w:rPr>
      <w:rFonts w:ascii="Arial" w:hAnsi="Arial" w:cs="Arial"/>
      <w:sz w:val="24"/>
      <w:szCs w:val="24"/>
    </w:rPr>
  </w:style>
  <w:style w:type="paragraph" w:styleId="Style28">
    <w:name w:val="Прижатый влево"/>
    <w:basedOn w:val="Normal"/>
    <w:next w:val="Normal"/>
    <w:qFormat/>
    <w:pPr>
      <w:widowControl w:val="false"/>
      <w:suppressAutoHyphens w:val="false"/>
      <w:spacing w:lineRule="auto" w:line="240" w:before="0" w:after="0"/>
    </w:pPr>
    <w:rPr>
      <w:rFonts w:ascii="Arial" w:hAnsi="Arial" w:cs="Arial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13">
    <w:name w:val="WW8Num13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Application>LibreOffice/6.1.4.2$Windows_X86_64 LibreOffice_project/9d0f32d1f0b509096fd65e0d4bec26ddd1938fd3</Application>
  <Pages>4</Pages>
  <Words>787</Words>
  <Characters>5363</Characters>
  <CharactersWithSpaces>6392</CharactersWithSpaces>
  <Paragraphs>193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2019-10-25T09:15:00Z</dcterms:created>
  <dc:creator>Финансы</dc:creator>
  <dc:description/>
  <dc:language>ru-RU</dc:language>
  <cp:lastModifiedBy/>
  <cp:lastPrinted>2022-04-21T15:09:02Z</cp:lastPrinted>
  <dcterms:modified xsi:type="dcterms:W3CDTF">2022-04-22T09:40:39Z</dcterms:modified>
  <cp:revision>111</cp:revision>
  <dc:subject/>
  <dc:title>Утверждена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