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Override PartName="/word/_rels/document.xml.rels" ContentType="application/vnd.openxmlformats-package.relationships+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rFonts w:ascii="Times New Roman" w:hAnsi="Times New Roman" w:cs="Times New Roman"/>
          <w:b/>
          <w:sz w:val="28"/>
          <w:szCs w:val="28"/>
        </w:rPr>
      </w:pPr>
      <w:r>
        <w:rPr>
          <w:rFonts w:cs="Times New Roman" w:ascii="Times New Roman" w:hAnsi="Times New Roman"/>
          <w:b/>
          <w:sz w:val="28"/>
          <w:szCs w:val="28"/>
        </w:rPr>
        <w:t>Руководство по соблюдению обязательных требований в области торговой деятельности для юридических лиц и индивидуальных предпринимателей</w:t>
      </w:r>
    </w:p>
    <w:p>
      <w:pPr>
        <w:pStyle w:val="Normal"/>
        <w:jc w:val="center"/>
        <w:rPr>
          <w:rFonts w:ascii="Times New Roman" w:hAnsi="Times New Roman" w:cs="Times New Roman"/>
          <w:sz w:val="28"/>
          <w:szCs w:val="28"/>
        </w:rPr>
      </w:pPr>
      <w:r>
        <w:rPr>
          <w:rFonts w:cs="Times New Roman" w:ascii="Times New Roman" w:hAnsi="Times New Roman"/>
          <w:sz w:val="28"/>
          <w:szCs w:val="28"/>
        </w:rPr>
        <w:t>I. Введение</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Развитие торговли на территории Копейского городского округа (далее по тексту – КГО) является важнейшей сферой жизнеобеспечения, способом улучшения качества жизни населения. Она выступает самостоятельной отраслью экономики, особым видом хозяйственной деятельности субъектов, занимающихся непосредственным обеспечением потребителей товарами и услугами, поэтому создание условий эффективного развития торговли, совершенствование механизма его регулирования являются одной из важнейших составляющих экономической политики района.</w:t>
      </w:r>
    </w:p>
    <w:p>
      <w:pPr>
        <w:pStyle w:val="Normal"/>
        <w:spacing w:before="0" w:after="0"/>
        <w:ind w:firstLine="709"/>
        <w:rPr>
          <w:rFonts w:ascii="Times New Roman" w:hAnsi="Times New Roman" w:cs="Times New Roman"/>
          <w:sz w:val="28"/>
          <w:szCs w:val="28"/>
        </w:rPr>
      </w:pPr>
      <w:r>
        <w:rPr>
          <w:rFonts w:cs="Times New Roman" w:ascii="Times New Roman" w:hAnsi="Times New Roman"/>
          <w:sz w:val="28"/>
          <w:szCs w:val="28"/>
        </w:rPr>
        <w:t>Субъекты предпринимательской деятельности обязаны соблюдать:</w:t>
      </w:r>
    </w:p>
    <w:p>
      <w:pPr>
        <w:pStyle w:val="Normal"/>
        <w:spacing w:before="0" w:after="0"/>
        <w:jc w:val="both"/>
        <w:rPr>
          <w:rFonts w:ascii="Times New Roman" w:hAnsi="Times New Roman" w:cs="Times New Roman"/>
          <w:sz w:val="28"/>
          <w:szCs w:val="28"/>
        </w:rPr>
      </w:pPr>
      <w:r>
        <w:rPr>
          <w:rFonts w:cs="Times New Roman" w:ascii="Times New Roman" w:hAnsi="Times New Roman"/>
          <w:sz w:val="28"/>
          <w:szCs w:val="28"/>
        </w:rPr>
        <w:t>1. В сфере размещения нестационарных торговых объектов (далее - НТО):</w:t>
      </w:r>
    </w:p>
    <w:p>
      <w:pPr>
        <w:pStyle w:val="Normal"/>
        <w:spacing w:before="0" w:after="0"/>
        <w:jc w:val="both"/>
        <w:rPr>
          <w:rFonts w:ascii="Times New Roman" w:hAnsi="Times New Roman" w:cs="Times New Roman"/>
          <w:sz w:val="28"/>
          <w:szCs w:val="28"/>
        </w:rPr>
      </w:pPr>
      <w:r>
        <w:rPr>
          <w:rFonts w:cs="Times New Roman" w:ascii="Times New Roman" w:hAnsi="Times New Roman"/>
          <w:sz w:val="28"/>
          <w:szCs w:val="28"/>
        </w:rPr>
        <w:t>- правила работы объектов мелкорозничной сети на территории КГО.</w:t>
      </w:r>
    </w:p>
    <w:p>
      <w:pPr>
        <w:pStyle w:val="Normal"/>
        <w:spacing w:before="0" w:after="0"/>
        <w:jc w:val="both"/>
        <w:rPr>
          <w:rFonts w:ascii="Times New Roman" w:hAnsi="Times New Roman" w:cs="Times New Roman"/>
          <w:sz w:val="28"/>
          <w:szCs w:val="28"/>
        </w:rPr>
      </w:pPr>
      <w:r>
        <w:rPr>
          <w:rFonts w:cs="Times New Roman" w:ascii="Times New Roman" w:hAnsi="Times New Roman"/>
          <w:sz w:val="28"/>
          <w:szCs w:val="28"/>
        </w:rPr>
        <w:t>- осуществлять размещение нестационарных торговых объектов на основании договоров на размещение НТО в местах, определенных  схемой НТО;</w:t>
      </w:r>
    </w:p>
    <w:p>
      <w:pPr>
        <w:pStyle w:val="Normal"/>
        <w:spacing w:before="0" w:after="0"/>
        <w:jc w:val="both"/>
        <w:rPr>
          <w:rFonts w:ascii="Times New Roman" w:hAnsi="Times New Roman" w:cs="Times New Roman"/>
          <w:sz w:val="28"/>
          <w:szCs w:val="28"/>
        </w:rPr>
      </w:pPr>
      <w:r>
        <w:rPr>
          <w:rFonts w:cs="Times New Roman" w:ascii="Times New Roman" w:hAnsi="Times New Roman"/>
          <w:sz w:val="28"/>
          <w:szCs w:val="28"/>
        </w:rPr>
        <w:t>- условия заключенного договора на размещение НТО.</w:t>
      </w:r>
    </w:p>
    <w:p>
      <w:pPr>
        <w:pStyle w:val="Normal"/>
        <w:spacing w:before="0" w:after="0"/>
        <w:jc w:val="both"/>
        <w:rPr>
          <w:rFonts w:ascii="Times New Roman" w:hAnsi="Times New Roman" w:cs="Times New Roman"/>
          <w:sz w:val="28"/>
          <w:szCs w:val="28"/>
        </w:rPr>
      </w:pPr>
      <w:r>
        <w:rPr>
          <w:rFonts w:cs="Times New Roman" w:ascii="Times New Roman" w:hAnsi="Times New Roman"/>
          <w:sz w:val="28"/>
          <w:szCs w:val="28"/>
        </w:rPr>
        <w:t>2. В сфере розничной продажи алкогольной продукции:</w:t>
      </w:r>
    </w:p>
    <w:p>
      <w:pPr>
        <w:pStyle w:val="Normal"/>
        <w:spacing w:before="0" w:after="0"/>
        <w:jc w:val="both"/>
        <w:rPr>
          <w:rFonts w:ascii="Times New Roman" w:hAnsi="Times New Roman" w:cs="Times New Roman"/>
          <w:sz w:val="28"/>
          <w:szCs w:val="28"/>
        </w:rPr>
      </w:pPr>
      <w:r>
        <w:rPr>
          <w:rFonts w:cs="Times New Roman" w:ascii="Times New Roman" w:hAnsi="Times New Roman"/>
          <w:sz w:val="28"/>
          <w:szCs w:val="28"/>
        </w:rPr>
        <w:t>- дополнительные ограничения времени, условий и мест розничной продажи алкогольной продукции на территории КГО;</w:t>
      </w:r>
    </w:p>
    <w:p>
      <w:pPr>
        <w:pStyle w:val="Normal"/>
        <w:spacing w:before="0" w:after="0"/>
        <w:jc w:val="both"/>
        <w:rPr>
          <w:rFonts w:ascii="Times New Roman" w:hAnsi="Times New Roman" w:cs="Times New Roman"/>
          <w:sz w:val="28"/>
          <w:szCs w:val="28"/>
        </w:rPr>
      </w:pPr>
      <w:r>
        <w:rPr>
          <w:rFonts w:cs="Times New Roman" w:ascii="Times New Roman" w:hAnsi="Times New Roman"/>
          <w:sz w:val="28"/>
          <w:szCs w:val="28"/>
        </w:rPr>
        <w:t>- минимальные значения расстояний от некоторых объектов и организаций до стационарных торговых объектов и предприятий общественного питания, осуществляющих продажу алкогольной продукции, на которых не допускается розничная продажа алкогольной продукции.</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Данное Руководство разработано администрацией КГО с целью предотвращения нарушений законодательства в сфере торговой деятельности и содержит рекомендации по соблюдению обязательных требований, касающихся размещения НТО, соблюдению требований и дополнительных ограничений в области розничной продажи алкогольной продукции, соблюдению организации и осуществления деятельности по продаже товаров (выполнению работ, оказанию услуг) на розничных рынках, в том числе соблюдения порядка организации ярмарок и продажи товаров (выполнения работ, оказания услуг) на них.</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jc w:val="center"/>
        <w:rPr>
          <w:rFonts w:ascii="Times New Roman" w:hAnsi="Times New Roman" w:cs="Times New Roman"/>
          <w:sz w:val="28"/>
          <w:szCs w:val="28"/>
        </w:rPr>
      </w:pPr>
      <w:r>
        <w:rPr>
          <w:rFonts w:cs="Times New Roman" w:ascii="Times New Roman" w:hAnsi="Times New Roman"/>
          <w:sz w:val="28"/>
          <w:szCs w:val="28"/>
        </w:rPr>
        <w:t>II. Основные понятия, используемые в данном Руководстве</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Для целей настоящего Руководства используются следующие основные понятия:</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торговая деятельность - вид предпринимательской деятельности, связанный с приобретением и продажей товаров;</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стационарный торговый объект - торговый объект,  представляющий собой здание или часть здания, строение или часть строения, прочно связанные фундаментом такого здания, строения с землей и подключенные (технологически присоединенные) к сетям инженерно-технического обеспечения;</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нестационарный торговый объект - торговый объект, представляющий собой временное сооружение или временную конструкцию, не связанные прочно с земельным участком, вне зависимости от присоединения или неприсоединения к сетям инженерно-технического обеспечения, в том числе передвижное сооружение;</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мелкорозничная сеть - торговая сеть, осуществляющая розничную торговлю через нестационарные торговые объекты;</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алкогольная продукция - пищевая продукция, которая произведена с использованием или без использования этилового спирта, произведенного из пищевого сырья, и (или) спиртосодержащей пищевой продукции, с содержанием этилового спирта более 0,5 процента объема готовой продукции, за исключением пищевой продукции в соответствии с перечнем, установленным Правительством Российской Федерации. Алкогольная продукция подразделяется на такие виды, как спиртные напитки (в том числе водка, коньяк), вино, фруктовое вино, ликерное вино, игристое вино (шампанское), винные напитки, пиво и напитки, изготавливаемые на основе пива, сидр, пуаре, медовуха.</w:t>
      </w:r>
    </w:p>
    <w:p>
      <w:pPr>
        <w:pStyle w:val="Normal"/>
        <w:spacing w:before="0" w:after="0"/>
        <w:jc w:val="both"/>
        <w:rPr>
          <w:rFonts w:ascii="Times New Roman" w:hAnsi="Times New Roman" w:cs="Times New Roman"/>
          <w:sz w:val="28"/>
          <w:szCs w:val="28"/>
        </w:rPr>
      </w:pPr>
      <w:r>
        <w:rPr>
          <w:rFonts w:cs="Times New Roman" w:ascii="Times New Roman" w:hAnsi="Times New Roman"/>
          <w:sz w:val="28"/>
          <w:szCs w:val="28"/>
        </w:rPr>
        <w:t>- обособленная территория – территория, границы которой обозначены ограждением (объектами искусственного происхождения), прилегающая к зданию (строению, сооружению), в котором расположены организации и (или) объекты.</w:t>
      </w:r>
    </w:p>
    <w:p>
      <w:pPr>
        <w:pStyle w:val="Normal"/>
        <w:spacing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jc w:val="center"/>
        <w:rPr>
          <w:rFonts w:ascii="Times New Roman" w:hAnsi="Times New Roman" w:cs="Times New Roman"/>
          <w:sz w:val="28"/>
          <w:szCs w:val="28"/>
        </w:rPr>
      </w:pPr>
      <w:r>
        <w:rPr>
          <w:rFonts w:cs="Times New Roman" w:ascii="Times New Roman" w:hAnsi="Times New Roman"/>
          <w:sz w:val="28"/>
          <w:szCs w:val="28"/>
        </w:rPr>
        <w:t>III. Основные нормативные правовые акты в сфере торговой деятельности, содержащие обязательные требования</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Основным нормативным правовым актом Российской Федерации в сфере торговой деятельности, содержащим обязательные требования, является Федеральный закон от 28 декабря 2009 года № 381-ФЗ «Об основах государственного регулирования торговой деятельности в Российской Федерации».</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Субъекты предпринимательской деятельности, осуществляющие торговую деятельность, обязаны соблюдать обязательные требования, установленные:</w:t>
      </w:r>
    </w:p>
    <w:p>
      <w:pPr>
        <w:pStyle w:val="Normal"/>
        <w:spacing w:before="0" w:after="0"/>
        <w:jc w:val="both"/>
        <w:rPr>
          <w:rFonts w:ascii="Times New Roman" w:hAnsi="Times New Roman" w:cs="Times New Roman"/>
          <w:sz w:val="28"/>
          <w:szCs w:val="28"/>
        </w:rPr>
      </w:pPr>
      <w:r>
        <w:rPr>
          <w:rFonts w:cs="Times New Roman" w:ascii="Times New Roman" w:hAnsi="Times New Roman"/>
          <w:sz w:val="28"/>
          <w:szCs w:val="28"/>
        </w:rPr>
        <w:t>- Федеральным законом от 28 декабря 2009 года № 381-ФЗ «Об основах государственного регулирования торговой деятельности в Российской Федерации».</w:t>
      </w:r>
    </w:p>
    <w:p>
      <w:pPr>
        <w:pStyle w:val="Normal"/>
        <w:spacing w:before="0" w:after="0"/>
        <w:jc w:val="both"/>
        <w:rPr>
          <w:rFonts w:ascii="Times New Roman" w:hAnsi="Times New Roman" w:cs="Times New Roman"/>
          <w:sz w:val="28"/>
          <w:szCs w:val="28"/>
        </w:rPr>
      </w:pPr>
      <w:r>
        <w:rPr>
          <w:rFonts w:cs="Times New Roman" w:ascii="Times New Roman" w:hAnsi="Times New Roman"/>
          <w:sz w:val="28"/>
          <w:szCs w:val="28"/>
        </w:rPr>
        <w:t>- Федеральный закон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pPr>
        <w:pStyle w:val="Normal"/>
        <w:spacing w:before="0" w:after="0"/>
        <w:jc w:val="both"/>
        <w:rPr>
          <w:rFonts w:ascii="Times New Roman" w:hAnsi="Times New Roman" w:cs="Times New Roman"/>
          <w:sz w:val="28"/>
          <w:szCs w:val="28"/>
        </w:rPr>
      </w:pPr>
      <w:r>
        <w:rPr>
          <w:rFonts w:cs="Times New Roman" w:ascii="Times New Roman" w:hAnsi="Times New Roman"/>
          <w:sz w:val="28"/>
          <w:szCs w:val="28"/>
        </w:rPr>
        <w:t>- Федеральный закон от 22 ноября 1995 года №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pPr>
        <w:pStyle w:val="Normal"/>
        <w:spacing w:before="0" w:after="0"/>
        <w:jc w:val="both"/>
        <w:rPr>
          <w:rFonts w:ascii="Times New Roman" w:hAnsi="Times New Roman" w:cs="Times New Roman"/>
          <w:sz w:val="28"/>
          <w:szCs w:val="28"/>
        </w:rPr>
      </w:pPr>
      <w:r>
        <w:rPr>
          <w:rFonts w:cs="Times New Roman" w:ascii="Times New Roman" w:hAnsi="Times New Roman"/>
          <w:sz w:val="28"/>
          <w:szCs w:val="28"/>
        </w:rPr>
        <w:t>- Федеральный закон от 30.12.2006 № 271-ФЗ «О розничных рынках и о внесении изменений в Трудовой кодекс Российской Федерации» (с изменениями и дополнениями).</w:t>
      </w:r>
    </w:p>
    <w:p>
      <w:pPr>
        <w:pStyle w:val="Normal"/>
        <w:spacing w:before="0" w:after="0"/>
        <w:jc w:val="both"/>
        <w:rPr>
          <w:rFonts w:ascii="Times New Roman" w:hAnsi="Times New Roman" w:cs="Times New Roman"/>
          <w:sz w:val="28"/>
          <w:szCs w:val="28"/>
        </w:rPr>
      </w:pPr>
      <w:r>
        <w:rPr>
          <w:rFonts w:cs="Times New Roman" w:ascii="Times New Roman" w:hAnsi="Times New Roman"/>
          <w:sz w:val="28"/>
          <w:szCs w:val="28"/>
        </w:rPr>
        <w:t>- Законом Челябинской области от 27.05.2010 № 584-ЗО «Об административных правонарушениях в Челябинской области».</w:t>
      </w:r>
    </w:p>
    <w:p>
      <w:pPr>
        <w:pStyle w:val="Normal"/>
        <w:spacing w:before="0" w:after="0"/>
        <w:jc w:val="both"/>
        <w:rPr>
          <w:rFonts w:ascii="Times New Roman" w:hAnsi="Times New Roman" w:cs="Times New Roman"/>
          <w:sz w:val="28"/>
          <w:szCs w:val="28"/>
        </w:rPr>
      </w:pPr>
      <w:r>
        <w:rPr>
          <w:rFonts w:cs="Times New Roman" w:ascii="Times New Roman" w:hAnsi="Times New Roman"/>
          <w:sz w:val="28"/>
          <w:szCs w:val="28"/>
        </w:rPr>
        <w:t>- Законом Челябинской  области от 27.08.1998 № 51-ЗО "О государственном регулировании производства и оборота этилового спирта, алкогольной и спиртосодержащей продукции на территории Челябинской области".</w:t>
      </w:r>
    </w:p>
    <w:p>
      <w:pPr>
        <w:pStyle w:val="Normal"/>
        <w:spacing w:before="0" w:after="0"/>
        <w:jc w:val="both"/>
        <w:rPr>
          <w:rFonts w:ascii="Times New Roman" w:hAnsi="Times New Roman" w:cs="Times New Roman"/>
          <w:sz w:val="28"/>
          <w:szCs w:val="28"/>
        </w:rPr>
      </w:pPr>
      <w:r>
        <w:rPr>
          <w:rFonts w:cs="Times New Roman" w:ascii="Times New Roman" w:hAnsi="Times New Roman"/>
          <w:sz w:val="28"/>
          <w:szCs w:val="28"/>
        </w:rPr>
        <w:t>- Законом Челябинской  области от 15.05.2007 № 136-ЗО "Об организации розничных рынков на  территории Челябинской области".</w:t>
      </w:r>
    </w:p>
    <w:p>
      <w:pPr>
        <w:pStyle w:val="Normal"/>
        <w:spacing w:before="0" w:after="0"/>
        <w:jc w:val="both"/>
        <w:rPr>
          <w:rFonts w:ascii="Times New Roman" w:hAnsi="Times New Roman" w:cs="Times New Roman"/>
          <w:sz w:val="28"/>
          <w:szCs w:val="28"/>
        </w:rPr>
      </w:pPr>
      <w:r>
        <w:rPr>
          <w:rFonts w:cs="Times New Roman" w:ascii="Times New Roman" w:hAnsi="Times New Roman"/>
          <w:sz w:val="28"/>
          <w:szCs w:val="28"/>
        </w:rPr>
        <w:t>- Постановлением Правительства Челябинской области от 16.02.2011 № 31-П «О Положении о порядке организации ярмарок и продажи товаров на них и требованиях к организации продажи товаров (выполнению работ, оказанию услуг) на ярмарках на территории Челябинской области».</w:t>
      </w:r>
    </w:p>
    <w:p>
      <w:pPr>
        <w:pStyle w:val="Normal"/>
        <w:spacing w:before="0" w:after="0"/>
        <w:jc w:val="both"/>
        <w:rPr>
          <w:rFonts w:ascii="Times New Roman" w:hAnsi="Times New Roman" w:cs="Times New Roman"/>
          <w:sz w:val="28"/>
          <w:szCs w:val="28"/>
        </w:rPr>
      </w:pPr>
      <w:r>
        <w:rPr>
          <w:rFonts w:cs="Times New Roman" w:ascii="Times New Roman" w:hAnsi="Times New Roman"/>
          <w:sz w:val="28"/>
          <w:szCs w:val="28"/>
        </w:rPr>
        <w:t>- Постановлением  администрации  Копейского   городского   округа от 30.12.2021 № 3076 - п «Об утверждении Порядка организации и проведения ярмарок, продажи товаров (выполнения работ, оказания услуг) на них на территории Копейского городского округа и Методики расчета размера платы за предоставление торгового места на ярмарках по продаже товаров (выполнения работ, оказания услуг)».</w:t>
      </w:r>
    </w:p>
    <w:p>
      <w:pPr>
        <w:pStyle w:val="Normal"/>
        <w:spacing w:before="0" w:after="0"/>
        <w:jc w:val="both"/>
        <w:rPr>
          <w:rFonts w:ascii="Times New Roman" w:hAnsi="Times New Roman" w:cs="Times New Roman"/>
          <w:sz w:val="28"/>
          <w:szCs w:val="28"/>
        </w:rPr>
      </w:pPr>
      <w:r>
        <w:rPr>
          <w:rFonts w:cs="Times New Roman" w:ascii="Times New Roman" w:hAnsi="Times New Roman"/>
          <w:sz w:val="28"/>
          <w:szCs w:val="28"/>
        </w:rPr>
        <w:t>- Постановлением администрации Копейского городского округа от 24.02.2022       № 554 -п «Об утверждении перечня ярмарочных площадок».</w:t>
      </w:r>
    </w:p>
    <w:p>
      <w:pPr>
        <w:pStyle w:val="Normal"/>
        <w:jc w:val="both"/>
        <w:rPr>
          <w:rFonts w:ascii="Times New Roman" w:hAnsi="Times New Roman" w:cs="Times New Roman"/>
          <w:sz w:val="28"/>
          <w:szCs w:val="28"/>
        </w:rPr>
      </w:pPr>
      <w:r>
        <w:rPr>
          <w:rFonts w:cs="Times New Roman" w:ascii="Times New Roman" w:hAnsi="Times New Roman"/>
          <w:sz w:val="28"/>
          <w:szCs w:val="28"/>
        </w:rPr>
        <w:t>- Постановлением администрации Копейского городского округа Челябинской области от 29.10.2014г. № 3697-п «Об определении границ прилегающих к некоторым организациям и объектам территорий, на которых не допускается розничная продажа алкогольной продукции, с приложением схем границ прилегающих территорий для каждой организации и (или) объекта».</w:t>
      </w:r>
    </w:p>
    <w:p>
      <w:pPr>
        <w:pStyle w:val="Normal"/>
        <w:jc w:val="center"/>
        <w:rPr>
          <w:rFonts w:ascii="Times New Roman" w:hAnsi="Times New Roman" w:cs="Times New Roman"/>
          <w:sz w:val="28"/>
          <w:szCs w:val="28"/>
        </w:rPr>
      </w:pPr>
      <w:r>
        <w:rPr>
          <w:rFonts w:cs="Times New Roman" w:ascii="Times New Roman" w:hAnsi="Times New Roman"/>
          <w:sz w:val="28"/>
          <w:szCs w:val="28"/>
        </w:rPr>
        <w:t>IV. Рекомендации по соблюдению обязательных требований в части размещения НТО</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Размещение нестационарных торговых объектов на земельных участках, в зданиях, строениях, сооружениях, находящихся в государственной собственности или муниципальной собственности, осуществляется в соответствии со Схемой размещения нестационарных торговых объектов с учетом необходимости обеспечения устойчивого развития территорий и достижения нормативов минимальной обеспеченности населения площадью торговых объектов.</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Порядок размещения и использования нестационарных торговых объектов в стационарном торговом объекте, в ином здании, строении, сооружении или на земельном участке, находящихся в частной собственности, устанавливается собственником стационарного торгового объекта, иного здания, строения, сооружения или земельного участка с учетом требований, определенных законодательством Российской Федерации.</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Нестационарные торговые объекты мелкорозничной сети размещаются на территории Копейского городского округа в соответствии со Схемой размещения НТО, утвержденной постановлением администрации Копейского городского округа от 05.02.2024 № 280-п. Схема размещения содержит информацию об адресных ориентирах, специализации объекта, площади места размещения, а также сведений о НТО, используемых субъектами малого и среднего предпринимательства, сроке размещения НТО и иной дополнительной информации. </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Внесение изменений в Схему размещения НТО на территории Копейского городского округа  осуществляется в порядке, утвержденном постановлением администрации Копейского городского округа от </w:t>
      </w:r>
      <w:r>
        <w:rPr>
          <w:rFonts w:cs="Times New Roman" w:ascii="Times New Roman" w:hAnsi="Times New Roman"/>
          <w:sz w:val="28"/>
          <w:szCs w:val="28"/>
        </w:rPr>
        <w:t>27</w:t>
      </w:r>
      <w:r>
        <w:rPr>
          <w:rFonts w:cs="Times New Roman" w:ascii="Times New Roman" w:hAnsi="Times New Roman"/>
          <w:sz w:val="28"/>
          <w:szCs w:val="28"/>
        </w:rPr>
        <w:t>.0</w:t>
      </w:r>
      <w:r>
        <w:rPr>
          <w:rFonts w:cs="Times New Roman" w:ascii="Times New Roman" w:hAnsi="Times New Roman"/>
          <w:sz w:val="28"/>
          <w:szCs w:val="28"/>
        </w:rPr>
        <w:t>9</w:t>
      </w:r>
      <w:r>
        <w:rPr>
          <w:rFonts w:cs="Times New Roman" w:ascii="Times New Roman" w:hAnsi="Times New Roman"/>
          <w:sz w:val="28"/>
          <w:szCs w:val="28"/>
        </w:rPr>
        <w:t>.20</w:t>
      </w:r>
      <w:r>
        <w:rPr>
          <w:rFonts w:cs="Times New Roman" w:ascii="Times New Roman" w:hAnsi="Times New Roman"/>
          <w:sz w:val="28"/>
          <w:szCs w:val="28"/>
        </w:rPr>
        <w:t>22</w:t>
      </w:r>
      <w:r>
        <w:rPr>
          <w:rFonts w:cs="Times New Roman" w:ascii="Times New Roman" w:hAnsi="Times New Roman"/>
          <w:sz w:val="28"/>
          <w:szCs w:val="28"/>
        </w:rPr>
        <w:t xml:space="preserve"> № </w:t>
      </w:r>
      <w:r>
        <w:rPr>
          <w:rFonts w:cs="Times New Roman" w:ascii="Times New Roman" w:hAnsi="Times New Roman"/>
          <w:sz w:val="28"/>
          <w:szCs w:val="28"/>
        </w:rPr>
        <w:t>2548</w:t>
      </w:r>
      <w:r>
        <w:rPr>
          <w:rFonts w:cs="Times New Roman" w:ascii="Times New Roman" w:hAnsi="Times New Roman"/>
          <w:sz w:val="28"/>
          <w:szCs w:val="28"/>
        </w:rPr>
        <w:t>-п «О</w:t>
      </w:r>
      <w:r>
        <w:rPr>
          <w:rFonts w:cs="Times New Roman" w:ascii="Times New Roman" w:hAnsi="Times New Roman"/>
          <w:sz w:val="28"/>
          <w:szCs w:val="28"/>
        </w:rPr>
        <w:t>б утверждении состава и Положения</w:t>
      </w:r>
      <w:r>
        <w:rPr>
          <w:rFonts w:cs="Times New Roman" w:ascii="Times New Roman" w:hAnsi="Times New Roman"/>
          <w:sz w:val="28"/>
          <w:szCs w:val="28"/>
        </w:rPr>
        <w:t xml:space="preserve"> </w:t>
      </w:r>
      <w:r>
        <w:rPr>
          <w:rFonts w:cs="Times New Roman" w:ascii="Times New Roman" w:hAnsi="Times New Roman"/>
          <w:sz w:val="28"/>
          <w:szCs w:val="28"/>
        </w:rPr>
        <w:t>о</w:t>
      </w:r>
      <w:r>
        <w:rPr>
          <w:rFonts w:cs="Times New Roman" w:ascii="Times New Roman" w:hAnsi="Times New Roman"/>
          <w:sz w:val="28"/>
          <w:szCs w:val="28"/>
        </w:rPr>
        <w:t xml:space="preserve"> комиссии </w:t>
      </w:r>
      <w:r>
        <w:rPr>
          <w:rFonts w:cs="Times New Roman" w:ascii="Times New Roman" w:hAnsi="Times New Roman"/>
          <w:sz w:val="28"/>
          <w:szCs w:val="28"/>
        </w:rPr>
        <w:t xml:space="preserve">для формирования и согласования проекта схемы </w:t>
      </w:r>
      <w:r>
        <w:rPr>
          <w:rFonts w:cs="Times New Roman" w:ascii="Times New Roman" w:hAnsi="Times New Roman"/>
          <w:sz w:val="28"/>
          <w:szCs w:val="28"/>
        </w:rPr>
        <w:t>размещени</w:t>
      </w:r>
      <w:r>
        <w:rPr>
          <w:rFonts w:cs="Times New Roman" w:ascii="Times New Roman" w:hAnsi="Times New Roman"/>
          <w:sz w:val="28"/>
          <w:szCs w:val="28"/>
        </w:rPr>
        <w:t>я</w:t>
      </w:r>
      <w:r>
        <w:rPr>
          <w:rFonts w:cs="Times New Roman" w:ascii="Times New Roman" w:hAnsi="Times New Roman"/>
          <w:sz w:val="28"/>
          <w:szCs w:val="28"/>
        </w:rPr>
        <w:t xml:space="preserve"> нестационарных торговых объектов и в</w:t>
      </w:r>
      <w:r>
        <w:rPr>
          <w:rFonts w:cs="Times New Roman" w:ascii="Times New Roman" w:hAnsi="Times New Roman"/>
          <w:sz w:val="28"/>
          <w:szCs w:val="28"/>
        </w:rPr>
        <w:t>носимых</w:t>
      </w:r>
      <w:r>
        <w:rPr>
          <w:rFonts w:cs="Times New Roman" w:ascii="Times New Roman" w:hAnsi="Times New Roman"/>
          <w:sz w:val="28"/>
          <w:szCs w:val="28"/>
        </w:rPr>
        <w:t xml:space="preserve"> в </w:t>
      </w:r>
      <w:r>
        <w:rPr>
          <w:rFonts w:cs="Times New Roman" w:ascii="Times New Roman" w:hAnsi="Times New Roman"/>
          <w:sz w:val="28"/>
          <w:szCs w:val="28"/>
        </w:rPr>
        <w:t>с</w:t>
      </w:r>
      <w:r>
        <w:rPr>
          <w:rFonts w:cs="Times New Roman" w:ascii="Times New Roman" w:hAnsi="Times New Roman"/>
          <w:sz w:val="28"/>
          <w:szCs w:val="28"/>
        </w:rPr>
        <w:t xml:space="preserve">хему </w:t>
      </w:r>
      <w:r>
        <w:rPr>
          <w:rFonts w:cs="Times New Roman" w:ascii="Times New Roman" w:hAnsi="Times New Roman"/>
          <w:sz w:val="28"/>
          <w:szCs w:val="28"/>
        </w:rPr>
        <w:t xml:space="preserve">изменений </w:t>
      </w:r>
      <w:r>
        <w:rPr>
          <w:rFonts w:cs="Times New Roman" w:ascii="Times New Roman" w:hAnsi="Times New Roman"/>
          <w:sz w:val="28"/>
          <w:szCs w:val="28"/>
        </w:rPr>
        <w:t>на территории Копейского городского округа». Основанием размещения НТО на территории Копейского городского округа  является договор на размещение НТО, заключаемый  администрацией Копейского городского округа.</w:t>
      </w:r>
    </w:p>
    <w:p>
      <w:pPr>
        <w:pStyle w:val="Normal"/>
        <w:spacing w:lineRule="auto" w:line="276" w:before="0" w:after="0"/>
        <w:ind w:firstLine="709"/>
        <w:jc w:val="both"/>
        <w:rPr>
          <w:rFonts w:ascii="Times New Roman" w:hAnsi="Times New Roman" w:cs="Times New Roman"/>
          <w:sz w:val="28"/>
          <w:szCs w:val="28"/>
        </w:rPr>
      </w:pPr>
      <w:r>
        <w:rPr>
          <w:rFonts w:cs="Times New Roman" w:ascii="Times New Roman" w:hAnsi="Times New Roman"/>
          <w:sz w:val="28"/>
          <w:szCs w:val="28"/>
        </w:rPr>
        <w:t>Размещение НТО проводится в порядке, утвержденном Решением Собрания депутатов Копейского городского округа от 24.08.2022 № 549-МО «Об утверждении Порядка размещения нестационарных торговых объектов на территории Копейского городского округа».</w:t>
      </w:r>
    </w:p>
    <w:p>
      <w:pPr>
        <w:pStyle w:val="Normal"/>
        <w:spacing w:lineRule="auto" w:line="276" w:before="0" w:after="0"/>
        <w:jc w:val="both"/>
        <w:rPr>
          <w:rFonts w:ascii="Times New Roman" w:hAnsi="Times New Roman" w:cs="Times New Roman"/>
          <w:sz w:val="28"/>
          <w:szCs w:val="28"/>
        </w:rPr>
      </w:pPr>
      <w:r>
        <w:rPr>
          <w:rFonts w:cs="Times New Roman" w:ascii="Times New Roman" w:hAnsi="Times New Roman"/>
          <w:sz w:val="28"/>
          <w:szCs w:val="28"/>
        </w:rPr>
        <w:t>Порядком установлены основные требования к размещению НТО, в том числе к внешнему виду НТО и обязательству соблюдения субъектами предпринимательской деятельности, осуществляющими деятельность в НТО, правил благоустройства и надлежащего содержания прилегающих к НТО территорий.</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r>
    </w:p>
    <w:p>
      <w:pPr>
        <w:pStyle w:val="Normal"/>
        <w:jc w:val="center"/>
        <w:rPr>
          <w:rFonts w:ascii="Times New Roman" w:hAnsi="Times New Roman" w:cs="Times New Roman"/>
          <w:sz w:val="28"/>
          <w:szCs w:val="28"/>
        </w:rPr>
      </w:pPr>
      <w:r>
        <w:rPr>
          <w:rFonts w:cs="Times New Roman" w:ascii="Times New Roman" w:hAnsi="Times New Roman"/>
          <w:sz w:val="28"/>
          <w:szCs w:val="28"/>
        </w:rPr>
        <w:t>V. Рекомендации по соблюдению обязательных требований в области дополнительных ограничения времени, условий и мест розничной продажи алкогольной продукции</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Не допускается розничная продажа алкогольной продукции с 23 часов до 8 часов по местному времени, за исключением розничной продажи алкогольной продукции, осуществляемой организациями, крестьянскими (фермерскими) хозяйствами, индивидуальными предпринимателями, признаваемыми сельскохозяйственными товаропроизводителями, розничной продажи пива, пивных напитков, сидра, пуаре, медовухи, осуществляемой индивидуальными предпринимателями, при оказании такими организациями, крестьянскими (фермерскими) хозяйствами и индивидуальными предпринимателями услуг общественного питания, розничной продажи алкогольной продукции в случае, если указанная продукция размещена на бортах водных и воздушных судов в качестве припасов в соответствии с правом ЕАЭС и законодательством Российской Федерации о таможенном деле, и розничной продажи алкогольной продукции, осуществляемой в магазинах беспошлинной торговли.</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Дополнительно к ограничениям розничной продажи алкогольной продукции, установленным Федеральным законом от 22 ноября 1995 года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запрещается розничная продажа алкогольной продукции при оказании услуг общественного питания в объектах общественного питания, расположенных в многоквартирных домах и (или) на прилегающих к ним территориях, имеющих зал обслуживания посетителей общей площадью менее 40 квадратных метров.</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Розничная продажа пива и пивных напитков, сидра, пуаре, медовухи при оказании услуг общественного питания допускается только в таких объектах общественного питания, как рестораны, бары, кафе, буфеты, в том числе расположенных в многоквартирных домах, включая пристроенные, встроенные, встроенно-пристроенные к многоквартирным домам помещения, а также на прилегающих к многоквартирным домам территориях.</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Не допускается розничная продажа алкогольной продукции при оказании услуг общественного питания в объектах общественного питания (за исключением ресторанов), расположенных в многоквартирных домах, включая пристроенные, встроенные, встроенно-пристроенные к многоквартирным домам помещения, а также на прилегающих к многоквартирным домам территориях, в рабочие дни в период времени с 22 до 10 часов, а в выходные дни (субботу и воскресенье) и нерабочие праздничные дни - с 23 до 10 часов, за исключением периода времени с 22 часов 31 декабря до 3 часов 1 января.</w:t>
      </w:r>
    </w:p>
    <w:p>
      <w:pPr>
        <w:pStyle w:val="Normal"/>
        <w:spacing w:before="0" w:after="0"/>
        <w:jc w:val="both"/>
        <w:rPr>
          <w:rFonts w:ascii="Times New Roman" w:hAnsi="Times New Roman" w:cs="Times New Roman"/>
          <w:sz w:val="28"/>
          <w:szCs w:val="28"/>
        </w:rPr>
      </w:pPr>
      <w:r>
        <w:rPr>
          <w:rFonts w:cs="Times New Roman" w:ascii="Times New Roman" w:hAnsi="Times New Roman"/>
          <w:sz w:val="28"/>
          <w:szCs w:val="28"/>
        </w:rPr>
        <w:t>- розничная продажа алкогольной продукции в местах проведения массовых мероприятий, проведение которых согласовано уполномоченным органом исполнительной власти Челябинской области и органами местного самоуправления  на время их проведения;</w:t>
      </w:r>
    </w:p>
    <w:p>
      <w:pPr>
        <w:pStyle w:val="Normal"/>
        <w:spacing w:before="0" w:after="0"/>
        <w:jc w:val="both"/>
        <w:rPr>
          <w:rFonts w:ascii="Times New Roman" w:hAnsi="Times New Roman" w:cs="Times New Roman"/>
          <w:sz w:val="28"/>
          <w:szCs w:val="28"/>
        </w:rPr>
      </w:pPr>
      <w:r>
        <w:rPr>
          <w:rFonts w:cs="Times New Roman" w:ascii="Times New Roman" w:hAnsi="Times New Roman"/>
          <w:sz w:val="28"/>
          <w:szCs w:val="28"/>
        </w:rPr>
        <w:t>- розничная продажа спиртных напитков, отнесенных государственными стандартами Российской Федерации (ГОСТ Р 52409-2005, ГОСТ Р 52845-2007) к слабоалкогольным тонизирующим напиткам.</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Правительство Челябинской области вправе установить дополнительные ограничения времени, условий и мест розничной продажи алкогольной продукции, в том числе полный запрет на розничную продажу алкогольной продукции, на период действия режима чрезвычайной ситуации природного и техногенного характера на территории Копейского городского округа, в которых установлен режим чрезвычайной ситуации.</w:t>
      </w:r>
    </w:p>
    <w:p>
      <w:pPr>
        <w:pStyle w:val="Normal"/>
        <w:spacing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spacing w:before="0" w:after="0"/>
        <w:jc w:val="center"/>
        <w:rPr>
          <w:rFonts w:ascii="Times New Roman" w:hAnsi="Times New Roman" w:cs="Times New Roman"/>
          <w:sz w:val="28"/>
          <w:szCs w:val="28"/>
        </w:rPr>
      </w:pPr>
      <w:r>
        <w:rPr>
          <w:rFonts w:cs="Times New Roman" w:ascii="Times New Roman" w:hAnsi="Times New Roman"/>
          <w:sz w:val="28"/>
          <w:szCs w:val="28"/>
        </w:rPr>
        <w:t>VI. Рекомендации по соблюдению обязательных требований в части определения прилегающих территорий, на которых не допускается розничная продажа алкогольной продукции на территории Копейского городского округа:</w:t>
      </w:r>
    </w:p>
    <w:p>
      <w:pPr>
        <w:pStyle w:val="Normal"/>
        <w:spacing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1. Розничная продажа алкогольной продукции на территории Копейского городского округа не допускается на территориях, прилегающих к следующим организациям и объектам:</w:t>
      </w:r>
    </w:p>
    <w:p>
      <w:pPr>
        <w:pStyle w:val="Normal"/>
        <w:spacing w:before="0" w:after="0"/>
        <w:jc w:val="both"/>
        <w:rPr>
          <w:rFonts w:ascii="Times New Roman" w:hAnsi="Times New Roman" w:cs="Times New Roman"/>
          <w:sz w:val="28"/>
          <w:szCs w:val="28"/>
        </w:rPr>
      </w:pPr>
      <w:r>
        <w:rPr>
          <w:rFonts w:cs="Times New Roman" w:ascii="Times New Roman" w:hAnsi="Times New Roman"/>
          <w:sz w:val="28"/>
          <w:szCs w:val="28"/>
        </w:rPr>
        <w:t>1) детским, образовательным, медицинским организациям;</w:t>
      </w:r>
    </w:p>
    <w:p>
      <w:pPr>
        <w:pStyle w:val="Normal"/>
        <w:spacing w:before="0" w:after="0"/>
        <w:jc w:val="both"/>
        <w:rPr>
          <w:rFonts w:ascii="Times New Roman" w:hAnsi="Times New Roman" w:cs="Times New Roman"/>
          <w:sz w:val="28"/>
          <w:szCs w:val="28"/>
        </w:rPr>
      </w:pPr>
      <w:r>
        <w:rPr>
          <w:rFonts w:cs="Times New Roman" w:ascii="Times New Roman" w:hAnsi="Times New Roman"/>
          <w:sz w:val="28"/>
          <w:szCs w:val="28"/>
        </w:rPr>
        <w:t>2) объектам спорта;</w:t>
      </w:r>
    </w:p>
    <w:p>
      <w:pPr>
        <w:pStyle w:val="Normal"/>
        <w:spacing w:before="0" w:after="0"/>
        <w:jc w:val="both"/>
        <w:rPr>
          <w:rFonts w:ascii="Times New Roman" w:hAnsi="Times New Roman" w:cs="Times New Roman"/>
          <w:sz w:val="28"/>
          <w:szCs w:val="28"/>
        </w:rPr>
      </w:pPr>
      <w:r>
        <w:rPr>
          <w:rFonts w:cs="Times New Roman" w:ascii="Times New Roman" w:hAnsi="Times New Roman"/>
          <w:sz w:val="28"/>
          <w:szCs w:val="28"/>
        </w:rPr>
        <w:t>3) оптовым и розничным рынкам, вокзалам, аэропортам;</w:t>
      </w:r>
    </w:p>
    <w:p>
      <w:pPr>
        <w:pStyle w:val="Normal"/>
        <w:spacing w:before="0" w:after="0"/>
        <w:jc w:val="both"/>
        <w:rPr>
          <w:rFonts w:ascii="Times New Roman" w:hAnsi="Times New Roman" w:cs="Times New Roman"/>
          <w:sz w:val="28"/>
          <w:szCs w:val="28"/>
        </w:rPr>
      </w:pPr>
      <w:r>
        <w:rPr>
          <w:rFonts w:cs="Times New Roman" w:ascii="Times New Roman" w:hAnsi="Times New Roman"/>
          <w:sz w:val="28"/>
          <w:szCs w:val="28"/>
        </w:rPr>
        <w:t>4) местам массового скопления граждан;</w:t>
      </w:r>
    </w:p>
    <w:p>
      <w:pPr>
        <w:pStyle w:val="Normal"/>
        <w:spacing w:before="0" w:after="0"/>
        <w:jc w:val="both"/>
        <w:rPr>
          <w:rFonts w:ascii="Times New Roman" w:hAnsi="Times New Roman" w:cs="Times New Roman"/>
          <w:sz w:val="28"/>
          <w:szCs w:val="28"/>
        </w:rPr>
      </w:pPr>
      <w:r>
        <w:rPr>
          <w:rFonts w:cs="Times New Roman" w:ascii="Times New Roman" w:hAnsi="Times New Roman"/>
          <w:sz w:val="28"/>
          <w:szCs w:val="28"/>
        </w:rPr>
        <w:t>5) местам нахождения источников повышенной опасности;</w:t>
      </w:r>
    </w:p>
    <w:p>
      <w:pPr>
        <w:pStyle w:val="Normal"/>
        <w:spacing w:before="0" w:after="0"/>
        <w:jc w:val="both"/>
        <w:rPr>
          <w:rFonts w:ascii="Times New Roman" w:hAnsi="Times New Roman" w:cs="Times New Roman"/>
          <w:sz w:val="28"/>
          <w:szCs w:val="28"/>
        </w:rPr>
      </w:pPr>
      <w:r>
        <w:rPr>
          <w:rFonts w:cs="Times New Roman" w:ascii="Times New Roman" w:hAnsi="Times New Roman"/>
          <w:sz w:val="28"/>
          <w:szCs w:val="28"/>
        </w:rPr>
        <w:t>6) объектам военного назначения.</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2. Территория, прилегающая к вышеуказанным организациям и объектам (далее - прилегающая территория), включает обособленную территорию (при наличии таковой), а также территорию, определяемую с учетом конкретных особенностей местности и застройки, примыкающую к границам обособленной территории либо непосредственно к зданию (строению, сооружению), в котором расположены организации и (или) объекты, указанные в подпунктах 1,2,3,4,5,6 (далее - дополнительная территория).</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Обособленная территория - территория, границы которой обозначены ограждением (объектами искусственного происхождения), прилегающая к зданию (строению, сооружению), в котором расположены организации и (или) объекты, указанные в подпунктах 1,2,3,4,5,6 пункта 1.</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Дополнительная территория определяется:</w:t>
      </w:r>
    </w:p>
    <w:p>
      <w:pPr>
        <w:pStyle w:val="Normal"/>
        <w:spacing w:before="0" w:after="0"/>
        <w:jc w:val="both"/>
        <w:rPr>
          <w:rFonts w:ascii="Times New Roman" w:hAnsi="Times New Roman" w:cs="Times New Roman"/>
          <w:sz w:val="28"/>
          <w:szCs w:val="28"/>
        </w:rPr>
      </w:pPr>
      <w:r>
        <w:rPr>
          <w:rFonts w:cs="Times New Roman" w:ascii="Times New Roman" w:hAnsi="Times New Roman"/>
          <w:sz w:val="28"/>
          <w:szCs w:val="28"/>
        </w:rPr>
        <w:t>1) при наличии обособленной территории - от входа для посетителей на обособленную территорию до входа для посетителей в стационарный торговый объект;</w:t>
      </w:r>
    </w:p>
    <w:p>
      <w:pPr>
        <w:pStyle w:val="Normal"/>
        <w:spacing w:before="0" w:after="0"/>
        <w:jc w:val="both"/>
        <w:rPr>
          <w:rFonts w:ascii="Times New Roman" w:hAnsi="Times New Roman" w:cs="Times New Roman"/>
          <w:sz w:val="28"/>
          <w:szCs w:val="28"/>
        </w:rPr>
      </w:pPr>
      <w:r>
        <w:rPr>
          <w:rFonts w:cs="Times New Roman" w:ascii="Times New Roman" w:hAnsi="Times New Roman"/>
          <w:sz w:val="28"/>
          <w:szCs w:val="28"/>
        </w:rPr>
        <w:t>2) при отсутствии обособленной территории - от входа для посетителей в здание (строение, сооружение), в котором расположены вышеуказанные организации и (или) объекты, до входа для посетителей в стационарный торговый объект.</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3. Запрет на розничную продажу алкогольной продукции на территориях, прилегающих к организациям и (или) объектам, указанным в подпунктах 3, 4, 5 пункта 1 не распространяется на розничную продажу алкогольной продукции с содержанием этилового спирта не более чем 16,5 процента объема готовой продукции, осуществляемую организациями, и на розничную продажу пива и пивных напитков, сидра, пуаре, медовухи, осуществляемую индивидуальными предпринимателями, при оказании этими организациями и индивидуальными предпринимателями услуг общественного питания, а также на розничную продажу алкогольной продукции, осуществляемую магазинами беспошлинной торговли.</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4. В качестве способа расчета расстояния от организаций и (или) объектов, указанных в п.п 1,2,3,4,5,6 пункта 1 за исключением организаций и объектов, размещенных в комплексах и офисных зданиях с предприятиями торговли и общественного питания, до границ прилегающих территорий выбран метод определения окружности радиусом, указанным в пункте 5 руководства с учетом конкретных особенностей местности и застройки:</w:t>
      </w:r>
    </w:p>
    <w:p>
      <w:pPr>
        <w:pStyle w:val="Normal"/>
        <w:spacing w:before="0" w:after="0"/>
        <w:jc w:val="both"/>
        <w:rPr>
          <w:rFonts w:ascii="Times New Roman" w:hAnsi="Times New Roman" w:cs="Times New Roman"/>
          <w:sz w:val="28"/>
          <w:szCs w:val="28"/>
        </w:rPr>
      </w:pPr>
      <w:r>
        <w:rPr>
          <w:rFonts w:cs="Times New Roman" w:ascii="Times New Roman" w:hAnsi="Times New Roman"/>
          <w:sz w:val="28"/>
          <w:szCs w:val="28"/>
        </w:rPr>
        <w:t>1) при наличии ограждения земельного участка - от входа для посетителей на обособленную территорию;</w:t>
      </w:r>
    </w:p>
    <w:p>
      <w:pPr>
        <w:pStyle w:val="Normal"/>
        <w:spacing w:before="0" w:after="0"/>
        <w:jc w:val="both"/>
        <w:rPr>
          <w:rFonts w:ascii="Times New Roman" w:hAnsi="Times New Roman" w:cs="Times New Roman"/>
          <w:sz w:val="28"/>
          <w:szCs w:val="28"/>
        </w:rPr>
      </w:pPr>
      <w:r>
        <w:rPr>
          <w:rFonts w:cs="Times New Roman" w:ascii="Times New Roman" w:hAnsi="Times New Roman"/>
          <w:sz w:val="28"/>
          <w:szCs w:val="28"/>
        </w:rPr>
        <w:t>2) при отсутствии ограждения земельного участка - от входа для посетителей в здание (строение, сооружение), в котором расположены организации и (или) объекты, указанные в подпунктах 1,2,3,4,5,6 пункта 1;</w:t>
      </w:r>
    </w:p>
    <w:p>
      <w:pPr>
        <w:pStyle w:val="Normal"/>
        <w:spacing w:before="0" w:after="0"/>
        <w:jc w:val="both"/>
        <w:rPr>
          <w:rFonts w:ascii="Times New Roman" w:hAnsi="Times New Roman" w:cs="Times New Roman"/>
          <w:sz w:val="28"/>
          <w:szCs w:val="28"/>
        </w:rPr>
      </w:pPr>
      <w:r>
        <w:rPr>
          <w:rFonts w:cs="Times New Roman" w:ascii="Times New Roman" w:hAnsi="Times New Roman"/>
          <w:sz w:val="28"/>
          <w:szCs w:val="28"/>
        </w:rPr>
        <w:t>3) при размещении организаций и объектов в комплексах и офисных зданиях с предприятиями торговли, общественного питания - как кратчайшее расстояние от входа (выхода) посетителей в организации и объекты до входа (выхода) посетителей в предприятие торговли и общественного питания. Значение расстояния - 30 метров.</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5. Значение радиуса, используемого для расчета расстояния от организаций и (или) объектов, указанных в подпунктах 1,2,3,4,5,6 пункта 1, за исключением медицинских организаций и других организаций, осуществляющих медицинскую деятельность, входящих в частную систему здравоохранения, до границ прилегающих территорий в целях установления запрета на розничную продажу алкогольной продукции в стационарных торговых объектах, должно находиться в пределах:</w:t>
      </w:r>
    </w:p>
    <w:p>
      <w:pPr>
        <w:pStyle w:val="Normal"/>
        <w:spacing w:before="0" w:after="0"/>
        <w:jc w:val="both"/>
        <w:rPr>
          <w:rFonts w:ascii="Times New Roman" w:hAnsi="Times New Roman" w:cs="Times New Roman"/>
          <w:sz w:val="28"/>
          <w:szCs w:val="28"/>
        </w:rPr>
      </w:pPr>
      <w:r>
        <w:rPr>
          <w:rFonts w:cs="Times New Roman" w:ascii="Times New Roman" w:hAnsi="Times New Roman"/>
          <w:sz w:val="28"/>
          <w:szCs w:val="28"/>
        </w:rPr>
        <w:t>1) при наличии ограждения земельного участка - 30 метров;</w:t>
      </w:r>
    </w:p>
    <w:p>
      <w:pPr>
        <w:pStyle w:val="Normal"/>
        <w:spacing w:before="0" w:after="0"/>
        <w:jc w:val="both"/>
        <w:rPr>
          <w:rFonts w:ascii="Times New Roman" w:hAnsi="Times New Roman" w:cs="Times New Roman"/>
          <w:sz w:val="28"/>
          <w:szCs w:val="28"/>
        </w:rPr>
      </w:pPr>
      <w:r>
        <w:rPr>
          <w:rFonts w:cs="Times New Roman" w:ascii="Times New Roman" w:hAnsi="Times New Roman"/>
          <w:sz w:val="28"/>
          <w:szCs w:val="28"/>
        </w:rPr>
        <w:t>2) при отсутствии ограждения земельного участка - 50 метров;</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Значение радиуса, используемого для расчета расстояния от медицинских организаций и других организаций, осуществляющих медицинскую деятельность, входящих в частную систему здравоохранения, до границ прилегающих территорий в целях установления запрета на розничную продажу алкогольной продукции в стационарных торговых объектах, должно находиться в пределах:</w:t>
      </w:r>
    </w:p>
    <w:p>
      <w:pPr>
        <w:pStyle w:val="Normal"/>
        <w:spacing w:before="0" w:after="0"/>
        <w:jc w:val="both"/>
        <w:rPr>
          <w:rFonts w:ascii="Times New Roman" w:hAnsi="Times New Roman" w:cs="Times New Roman"/>
          <w:sz w:val="28"/>
          <w:szCs w:val="28"/>
        </w:rPr>
      </w:pPr>
      <w:r>
        <w:rPr>
          <w:rFonts w:cs="Times New Roman" w:ascii="Times New Roman" w:hAnsi="Times New Roman"/>
          <w:sz w:val="28"/>
          <w:szCs w:val="28"/>
        </w:rPr>
        <w:t>3) при наличии ограждения земельного участка - 10 метров;</w:t>
      </w:r>
    </w:p>
    <w:p>
      <w:pPr>
        <w:pStyle w:val="Normal"/>
        <w:spacing w:before="0" w:after="0"/>
        <w:jc w:val="both"/>
        <w:rPr>
          <w:rFonts w:ascii="Times New Roman" w:hAnsi="Times New Roman" w:cs="Times New Roman"/>
          <w:sz w:val="28"/>
          <w:szCs w:val="28"/>
        </w:rPr>
      </w:pPr>
      <w:r>
        <w:rPr>
          <w:rFonts w:cs="Times New Roman" w:ascii="Times New Roman" w:hAnsi="Times New Roman"/>
          <w:sz w:val="28"/>
          <w:szCs w:val="28"/>
        </w:rPr>
        <w:t>4) при отсутствии ограждения земельного участка - 15 метров.</w:t>
      </w:r>
    </w:p>
    <w:p>
      <w:pPr>
        <w:pStyle w:val="Normal"/>
        <w:spacing w:before="0" w:after="0"/>
        <w:jc w:val="center"/>
        <w:rPr>
          <w:rFonts w:ascii="Times New Roman" w:hAnsi="Times New Roman" w:cs="Times New Roman"/>
          <w:sz w:val="28"/>
          <w:szCs w:val="28"/>
        </w:rPr>
      </w:pPr>
      <w:r>
        <w:rPr>
          <w:rFonts w:cs="Times New Roman" w:ascii="Times New Roman" w:hAnsi="Times New Roman"/>
          <w:sz w:val="28"/>
          <w:szCs w:val="28"/>
        </w:rPr>
      </w:r>
    </w:p>
    <w:p>
      <w:pPr>
        <w:pStyle w:val="Normal"/>
        <w:jc w:val="center"/>
        <w:rPr>
          <w:rFonts w:ascii="Times New Roman" w:hAnsi="Times New Roman" w:cs="Times New Roman"/>
          <w:sz w:val="28"/>
          <w:szCs w:val="28"/>
        </w:rPr>
      </w:pPr>
      <w:r>
        <w:rPr>
          <w:rFonts w:cs="Times New Roman" w:ascii="Times New Roman" w:hAnsi="Times New Roman"/>
          <w:sz w:val="28"/>
          <w:szCs w:val="28"/>
        </w:rPr>
        <w:t>V</w:t>
      </w:r>
      <w:r>
        <w:rPr>
          <w:rFonts w:cs="Times New Roman" w:ascii="Times New Roman" w:hAnsi="Times New Roman"/>
          <w:sz w:val="28"/>
          <w:szCs w:val="28"/>
          <w:lang w:val="en-US"/>
        </w:rPr>
        <w:t>II</w:t>
      </w:r>
      <w:r>
        <w:rPr>
          <w:rFonts w:cs="Times New Roman" w:ascii="Times New Roman" w:hAnsi="Times New Roman"/>
          <w:sz w:val="28"/>
          <w:szCs w:val="28"/>
        </w:rPr>
        <w:t>. Рекомендации по соблюдению обязательных требований при проведении ярмарок на территории Копейского городского округа</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Требования к организации ярмарок и продажи товаров (выполнение работ и услуг) на них регулируется ст. 11 Федерального закона от 28 декабря 2009г. № 381-ФЗ «Об основах государственного регулирования торговой деятельности в РФ», постановлением Правительства Челябинской области от 16.02.2011 № 31-П «О Положении о порядке организации ярмарок и продажи товаров на них и требованиях к организации продажи товаров (выполнению работ, оказанию услуг) на ярмарках на территории Челябинской области».</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Проведение ярмарок на территории городского округа осуществляются в соответствии с Порядком организации и проведения ярмарок, утвержденным -</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Перечень мест проведения ярмарок, утвержден постановлением администрации Копейского городского округа Челябинской области от 24.02.2022 № 554-п «Об утверждении перечня ярма</w:t>
      </w:r>
      <w:bookmarkStart w:id="0" w:name="_GoBack"/>
      <w:bookmarkEnd w:id="0"/>
      <w:r>
        <w:rPr>
          <w:rFonts w:cs="Times New Roman" w:ascii="Times New Roman" w:hAnsi="Times New Roman"/>
          <w:sz w:val="28"/>
          <w:szCs w:val="28"/>
        </w:rPr>
        <w:t>рочных площадок».</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Указанные постановления размещены на официальном сайте администрации Копейского городского округа </w:t>
      </w:r>
      <w:hyperlink r:id="rId2">
        <w:r>
          <w:rPr>
            <w:rStyle w:val="Hyperlink"/>
            <w:rFonts w:cs="Times New Roman" w:ascii="Times New Roman" w:hAnsi="Times New Roman"/>
            <w:sz w:val="28"/>
            <w:szCs w:val="28"/>
            <w:lang w:val="en-US"/>
          </w:rPr>
          <w:t>http</w:t>
        </w:r>
        <w:r>
          <w:rPr>
            <w:rStyle w:val="Hyperlink"/>
            <w:rFonts w:cs="Times New Roman" w:ascii="Times New Roman" w:hAnsi="Times New Roman"/>
            <w:sz w:val="28"/>
            <w:szCs w:val="28"/>
          </w:rPr>
          <w:t>://</w:t>
        </w:r>
        <w:r>
          <w:rPr>
            <w:rStyle w:val="Hyperlink"/>
            <w:rFonts w:cs="Times New Roman" w:ascii="Times New Roman" w:hAnsi="Times New Roman"/>
            <w:sz w:val="28"/>
            <w:szCs w:val="28"/>
            <w:lang w:val="en-US"/>
          </w:rPr>
          <w:t>akgo</w:t>
        </w:r>
        <w:r>
          <w:rPr>
            <w:rStyle w:val="Hyperlink"/>
            <w:rFonts w:cs="Times New Roman" w:ascii="Times New Roman" w:hAnsi="Times New Roman"/>
            <w:sz w:val="28"/>
            <w:szCs w:val="28"/>
          </w:rPr>
          <w:t>74.</w:t>
        </w:r>
        <w:r>
          <w:rPr>
            <w:rStyle w:val="Hyperlink"/>
            <w:rFonts w:cs="Times New Roman" w:ascii="Times New Roman" w:hAnsi="Times New Roman"/>
            <w:sz w:val="28"/>
            <w:szCs w:val="28"/>
            <w:lang w:val="en-US"/>
          </w:rPr>
          <w:t>ru</w:t>
        </w:r>
      </w:hyperlink>
      <w:r>
        <w:rPr>
          <w:rFonts w:cs="Times New Roman" w:ascii="Times New Roman" w:hAnsi="Times New Roman"/>
          <w:sz w:val="28"/>
          <w:szCs w:val="28"/>
        </w:rPr>
        <w:t xml:space="preserve"> в разделе «Предпринимательство» в тематическом блоке «Развитие торговой сферы/ярморочная торговля».</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jc w:val="center"/>
        <w:rPr>
          <w:rFonts w:ascii="Times New Roman" w:hAnsi="Times New Roman" w:cs="Times New Roman"/>
          <w:sz w:val="28"/>
          <w:szCs w:val="28"/>
        </w:rPr>
      </w:pPr>
      <w:r>
        <w:rPr>
          <w:rFonts w:cs="Times New Roman" w:ascii="Times New Roman" w:hAnsi="Times New Roman"/>
          <w:sz w:val="28"/>
          <w:szCs w:val="28"/>
          <w:lang w:val="en-US"/>
        </w:rPr>
        <w:t>VIII</w:t>
      </w:r>
      <w:r>
        <w:rPr>
          <w:rFonts w:cs="Times New Roman" w:ascii="Times New Roman" w:hAnsi="Times New Roman"/>
          <w:sz w:val="28"/>
          <w:szCs w:val="28"/>
        </w:rPr>
        <w:t>. Рекомендации по соблюдению обязательных требований при организации рынков на территории Копейского городского округа</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Рынок организуется в соответствии с планом, предусматривающим организацию рынков на территории субъекта РФ и утвержденным органом государственной власти субъекта РФ в соответствии с архитектурными, градостроительными и строительными нормами и правилами, с проектами планировки и благоустройства территории субъекта РФ и территории муниципального образования и с учетом потебности субъекта РФ в рынках того или иного типа (Федеральный закон от 30.12.2006 № 271-ФЗ «О розничных рынках и о внесении изменений в Трудовой кодекс Российской Федерации (статьи 4-10).</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Выдача разрешения осуществляется в соответствии с постановлением Правительства РФ от 10.03.2007 № 148 «Об утверждении Правил выдачи разрешений на право организации розничного рынка».</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pacing w:before="0" w:after="0"/>
        <w:jc w:val="center"/>
        <w:rPr>
          <w:rFonts w:ascii="Times New Roman" w:hAnsi="Times New Roman" w:cs="Times New Roman"/>
          <w:sz w:val="28"/>
          <w:szCs w:val="28"/>
        </w:rPr>
      </w:pPr>
      <w:r>
        <w:rPr>
          <w:rFonts w:cs="Times New Roman" w:ascii="Times New Roman" w:hAnsi="Times New Roman"/>
          <w:sz w:val="28"/>
          <w:szCs w:val="28"/>
          <w:lang w:val="en-US"/>
        </w:rPr>
        <w:t>IX</w:t>
      </w:r>
      <w:r>
        <w:rPr>
          <w:rFonts w:cs="Times New Roman" w:ascii="Times New Roman" w:hAnsi="Times New Roman"/>
          <w:sz w:val="28"/>
          <w:szCs w:val="28"/>
        </w:rPr>
        <w:t>. Ответственность за нарушение обязательных требований в области торговой деятельности</w:t>
      </w:r>
    </w:p>
    <w:p>
      <w:pPr>
        <w:pStyle w:val="Normal"/>
        <w:spacing w:before="0" w:after="0"/>
        <w:jc w:val="center"/>
        <w:rPr>
          <w:rFonts w:ascii="Times New Roman" w:hAnsi="Times New Roman" w:cs="Times New Roman"/>
          <w:sz w:val="28"/>
          <w:szCs w:val="28"/>
        </w:rPr>
      </w:pPr>
      <w:r>
        <w:rPr>
          <w:rFonts w:cs="Times New Roman" w:ascii="Times New Roman" w:hAnsi="Times New Roman"/>
          <w:sz w:val="28"/>
          <w:szCs w:val="28"/>
        </w:rPr>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В случае выявления при проведении проверки нарушений юридическим лицом, индивидуальным предпринимателем обязательных требований или требований, установленных муниципальными правовыми актами, должностные лица органа государственного контроля (надзора), органа муниципального контроля, проводившие проверку, в пределах полномочий, предусмотренных законодательством Российской Федерации, обязаны:</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1) выдать предписание юридическому лицу, индивидуальному предпринимателю об устранении выявленных нарушений с указанием сроков их устранения и (или) о проведении мероприятий по предотвращению причинения вреда жизни, здоровью людей,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имуществу физических и юридических лиц, государственному или муниципальному имуществу, предупреждению возникновения чрезвычайных ситуаций природного и техногенного характера, а также других мероприятий, предусмотренных федеральными законами;</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2) принять меры по контролю за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обеспечению безопасности государства, предупреждению возникновения чрезвычайных ситуаций природного и техногенного характера, а также меры по привлечению лиц, допустивших выявленные нарушения, к ответственности.</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2. В случае, если при проведении проверки установлено, что деятельность юридического лица, его филиала, представительства, структурного подразделения, индивидуального предпринимателя, эксплуатация ими зданий, строений, сооружений, помещений, оборудования, подобных объектов, транспортных средств, производимые и реализуемые ими товары (выполняемые работы, предоставляемые услуги) представляют непосредственную угрозу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возникновения чрезвычайных ситуаций природного и техногенного характера или такой вред причинен, орган государственного контроля (надзора), орган муниципального контроля обязаны незамедлительно принять меры по недопущению причинения вреда или прекращению его причинения вплоть до временного запрета деятельности юридического лица, его филиала, представительства, структурного подразделения, индивидуального предпринимателя в порядке, установленном Кодексом Российской Федерации об административных правонарушениях, отзыва продукции, представляющей опасность для жизни, здоровья граждан и для окружающей среды, из оборота и довести до сведения граждан, а также других юридических лиц, индивидуальных предпринимателей любым доступным способом информацию о наличии угрозы причинения вреда и способах его предотвращения.</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Неисполнение предписания в установленный срок влечет ответственность, предусмотренную статьей 19.5 Кодекса Российской Федерации об административных правонарушениях.</w:t>
      </w:r>
    </w:p>
    <w:p>
      <w:pPr>
        <w:pStyle w:val="Normal"/>
        <w:spacing w:before="0" w:after="0"/>
        <w:jc w:val="both"/>
        <w:rPr>
          <w:rFonts w:ascii="Times New Roman" w:hAnsi="Times New Roman" w:cs="Times New Roman"/>
          <w:sz w:val="28"/>
          <w:szCs w:val="28"/>
        </w:rPr>
      </w:pPr>
      <w:r>
        <w:rPr>
          <w:rFonts w:cs="Times New Roman" w:ascii="Times New Roman" w:hAnsi="Times New Roman"/>
          <w:sz w:val="28"/>
          <w:szCs w:val="28"/>
        </w:rPr>
      </w:r>
    </w:p>
    <w:sectPr>
      <w:type w:val="nextPage"/>
      <w:pgSz w:w="11906" w:h="16838"/>
      <w:pgMar w:left="1134" w:right="567" w:gutter="0" w:header="0" w:top="1135" w:footer="0" w:bottom="567"/>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Tempora LGC Uni">
    <w:charset w:val="01"/>
    <w:family w:val="roman"/>
    <w:pitch w:val="variable"/>
  </w:font>
  <w:font w:name="Calibri">
    <w:charset w:val="01"/>
    <w:family w:val="roman"/>
    <w:pitch w:val="variable"/>
  </w:font>
  <w:font w:name="Tahoma">
    <w:charset w:val="01"/>
    <w:family w:val="roman"/>
    <w:pitch w:val="variable"/>
  </w:font>
  <w:font w:name="Open Sans">
    <w:charset w:val="01"/>
    <w:family w:val="roman"/>
    <w:pitch w:val="variable"/>
  </w:font>
  <w:font w:name="Times New Roman">
    <w:charset w:val="01"/>
    <w:family w:val="roman"/>
    <w:pitch w:val="variable"/>
  </w:font>
</w:fonts>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character" w:styleId="Style14" w:customStyle="1">
    <w:name w:val="Текст выноски Знак"/>
    <w:basedOn w:val="DefaultParagraphFont"/>
    <w:link w:val="BalloonText"/>
    <w:uiPriority w:val="99"/>
    <w:semiHidden/>
    <w:qFormat/>
    <w:rsid w:val="00db5a16"/>
    <w:rPr>
      <w:rFonts w:ascii="Tahoma" w:hAnsi="Tahoma" w:cs="Tahoma"/>
      <w:sz w:val="16"/>
      <w:szCs w:val="16"/>
    </w:rPr>
  </w:style>
  <w:style w:type="character" w:styleId="Hyperlink">
    <w:name w:val="Hyperlink"/>
    <w:basedOn w:val="DefaultParagraphFont"/>
    <w:uiPriority w:val="99"/>
    <w:unhideWhenUsed/>
    <w:rsid w:val="004a40b6"/>
    <w:rPr>
      <w:color w:themeColor="hyperlink" w:val="0563C1"/>
      <w:u w:val="single"/>
    </w:rPr>
  </w:style>
  <w:style w:type="paragraph" w:styleId="Style15">
    <w:name w:val="Заголовок"/>
    <w:basedOn w:val="Normal"/>
    <w:next w:val="BodyText"/>
    <w:qFormat/>
    <w:pPr>
      <w:keepNext w:val="true"/>
      <w:spacing w:before="240" w:after="120"/>
    </w:pPr>
    <w:rPr>
      <w:rFonts w:ascii="Open Sans" w:hAnsi="Open Sans" w:eastAsia="Droid Sans Fallback" w:cs="Lohit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Style16">
    <w:name w:val="Указатель"/>
    <w:basedOn w:val="Normal"/>
    <w:qFormat/>
    <w:pPr>
      <w:suppressLineNumbers/>
    </w:pPr>
    <w:rPr>
      <w:rFonts w:cs="Lohit Devanagari"/>
    </w:rPr>
  </w:style>
  <w:style w:type="paragraph" w:styleId="BalloonText">
    <w:name w:val="Balloon Text"/>
    <w:basedOn w:val="Normal"/>
    <w:link w:val="Style14"/>
    <w:uiPriority w:val="99"/>
    <w:semiHidden/>
    <w:unhideWhenUsed/>
    <w:qFormat/>
    <w:rsid w:val="00db5a16"/>
    <w:pPr>
      <w:spacing w:lineRule="auto" w:line="240" w:before="0" w:after="0"/>
    </w:pPr>
    <w:rPr>
      <w:rFonts w:ascii="Tahoma" w:hAnsi="Tahoma" w:cs="Tahoma"/>
      <w:sz w:val="16"/>
      <w:szCs w:val="16"/>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akgo74.ru/" TargetMode="Externa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itchFamily="0" charset="1"/>
        <a:ea typeface=""/>
        <a:cs typeface=""/>
      </a:majorFont>
      <a:minorFont>
        <a:latin typeface="Calibri"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C1247F-841C-4D08-8738-C2D77860C0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410</TotalTime>
  <Application>LibreOffice/7.6.0.3$Linux_X86_64 LibreOffice_project/60$Build-3</Application>
  <AppVersion>15.0000</AppVersion>
  <Pages>9</Pages>
  <Words>2750</Words>
  <Characters>20466</Characters>
  <CharactersWithSpaces>23153</CharactersWithSpaces>
  <Paragraphs>87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2018-08-14T14:00:00Z</dcterms:created>
  <dc:creator>Admin</dc:creator>
  <dc:description/>
  <dc:language>ru-RU</dc:language>
  <cp:lastModifiedBy/>
  <cp:lastPrinted>2018-08-16T12:13:00Z</cp:lastPrinted>
  <dcterms:modified xsi:type="dcterms:W3CDTF">2024-12-10T09:31:13Z</dcterms:modified>
  <cp:revision>25</cp:revision>
  <dc:subject/>
  <dc:title/>
</cp:coreProperties>
</file>

<file path=docProps/custom.xml><?xml version="1.0" encoding="utf-8"?>
<Properties xmlns="http://schemas.openxmlformats.org/officeDocument/2006/custom-properties" xmlns:vt="http://schemas.openxmlformats.org/officeDocument/2006/docPropsVTypes"/>
</file>