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Cs w:val="26"/>
        </w:rPr>
        <w:t xml:space="preserve">Отчет об исполнении плана мероприятий («дорожная карта») по содействию развитию конкуренции </w:t>
      </w:r>
      <w:r/>
    </w:p>
    <w:p>
      <w:pPr>
        <w:jc w:val="center"/>
      </w:pPr>
      <w:r>
        <w:rPr>
          <w:szCs w:val="26"/>
        </w:rPr>
        <w:t xml:space="preserve">в</w:t>
      </w:r>
      <w:r>
        <w:rPr>
          <w:szCs w:val="26"/>
        </w:rPr>
        <w:t xml:space="preserve"> </w:t>
      </w:r>
      <w:r>
        <w:rPr>
          <w:szCs w:val="26"/>
        </w:rPr>
        <w:t xml:space="preserve">Копейском</w:t>
      </w:r>
      <w:r>
        <w:rPr>
          <w:szCs w:val="26"/>
        </w:rPr>
        <w:t xml:space="preserve"> городском округе в 2022 году</w:t>
      </w:r>
      <w:r/>
    </w:p>
    <w:p>
      <w:pPr>
        <w:jc w:val="center"/>
      </w:pPr>
      <w:r>
        <w:rPr>
          <w:szCs w:val="26"/>
        </w:rPr>
        <w:t xml:space="preserve">(далее – городской округ)</w:t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  <w:lang w:val="en-US"/>
        </w:rPr>
        <w:t xml:space="preserve">II</w:t>
      </w:r>
      <w:r>
        <w:rPr>
          <w:szCs w:val="26"/>
        </w:rPr>
        <w:t xml:space="preserve">. Ключевые показатели развития конкуренции на товарных рынках</w:t>
      </w:r>
      <w:r/>
    </w:p>
    <w:p>
      <w:pPr>
        <w:rPr>
          <w:szCs w:val="26"/>
        </w:rPr>
      </w:pPr>
      <w:r>
        <w:rPr>
          <w:szCs w:val="26"/>
        </w:rPr>
      </w:r>
      <w:r/>
    </w:p>
    <w:tbl>
      <w:tblPr>
        <w:tblW w:w="149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13"/>
        <w:gridCol w:w="1418"/>
        <w:gridCol w:w="1525"/>
      </w:tblGrid>
      <w:tr>
        <w:trPr>
          <w:trHeight w:val="101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ключевого показателя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2022 год (план)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2022 год  (факт)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jc w:val="both"/>
              <w:tabs>
                <w:tab w:val="left" w:pos="440" w:leader="none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Рынок оказания услуг по сбору и транспортированию твердых коммунальных отходов (далее ТКО)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Доля организаций частной формы собственности в сфере услуг по сбору и транспортированию ТКО,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Доля </w:t>
            </w:r>
            <w:r>
              <w:rPr>
                <w:szCs w:val="26"/>
              </w:rPr>
              <w:t xml:space="preserve">объема твердых коммунальных отходов, транспортируемых организациями частных форм собственности (не государственными и не муниципальными организациями) и не аффилированными с региональным оператором по обращению с твердыми коммунальными отходами,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100</w:t>
            </w:r>
            <w:r/>
          </w:p>
          <w:p>
            <w:r/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jc w:val="both"/>
              <w:tabs>
                <w:tab w:val="left" w:pos="431" w:leader="none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</w:t>
            </w:r>
            <w:r/>
          </w:p>
        </w:tc>
      </w:tr>
      <w:tr>
        <w:trPr>
          <w:trHeight w:val="6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 более  50 %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50 %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jc w:val="both"/>
              <w:tabs>
                <w:tab w:val="left" w:pos="425" w:leader="none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Рынок услуг розничной торговли лекарственными препаратами, медицинскими изделиями и сопутствующими товарами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25" w:leader="none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Торговля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количества нестационарных торговых объектов и торговых мест под них по отношению к 2020 году, процентов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110,9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25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ритуальных услуг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кладбищ и мест захоронений на них, сведения о которых включены в реестры кладбищ и мест захоронений на них, от общего количества существующих кладбищ,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ритуальных услуг,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25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услуг детского отдыха и оздоровления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отдыха и оздоровления частной формы собственности,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20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4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</w:t>
            </w:r>
            <w:r>
              <w:rPr>
                <w:b/>
                <w:szCs w:val="26"/>
                <w:highlight w:val="white"/>
              </w:rPr>
              <w:t xml:space="preserve">теплоснобжения</w:t>
            </w:r>
            <w:r>
              <w:rPr>
                <w:b/>
                <w:szCs w:val="26"/>
                <w:highlight w:val="white"/>
              </w:rPr>
              <w:t xml:space="preserve"> (производство тепловой энергии)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теплоснабжения (производство тепловой энергии),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25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выполнения работ по благоустройству городской среды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выполнения работ по благоустройству городской среды,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jc w:val="both"/>
              <w:tabs>
                <w:tab w:val="left" w:pos="44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jc w:val="both"/>
              <w:tabs>
                <w:tab w:val="left" w:pos="44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услуг связи, в том числе услуг по предоставлению широкополосного доступа к информационно – телекоммуникационной сети Интернет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13" w:type="dxa"/>
            <w:textDirection w:val="lrTb"/>
            <w:noWrap w:val="false"/>
          </w:tcPr>
          <w:p>
            <w:pPr>
              <w:jc w:val="both"/>
              <w:spacing w:before="240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 – телекоммуникационной сети Интернет, процентов*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</w:r>
            <w:r/>
          </w:p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</w:r>
            <w:r/>
          </w:p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1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дорожной деятельности (за исключением проектирования)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дорожной деятельности (за исключением проектирования),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4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легкой промышленности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легкой промышленности,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4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поставки сжиженного газа в баллонах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поставки сжиженного газа в баллонах,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25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Рынок оказания услуг по ремонту автотранспортных средств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jc w:val="both"/>
              <w:spacing w:before="240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оказания услуг по ремонту автотранспортных средств,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</w:r>
            <w:r/>
          </w:p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</w:r>
            <w:r/>
          </w:p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" w:firstLine="0"/>
              <w:tabs>
                <w:tab w:val="left" w:pos="440" w:leader="none"/>
              </w:tabs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 xml:space="preserve">Сфера наружной рекламы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3" w:type="dxa"/>
            <w:textDirection w:val="lrTb"/>
            <w:noWrap w:val="false"/>
          </w:tcPr>
          <w:p>
            <w:pPr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Доля организаций частной формы собственности в сфере наружной рекламы, процентов*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100</w:t>
            </w:r>
            <w:r/>
          </w:p>
        </w:tc>
      </w:tr>
    </w:tbl>
    <w:p>
      <w:pPr>
        <w:rPr>
          <w:szCs w:val="26"/>
        </w:rPr>
      </w:pPr>
      <w:r>
        <w:rPr>
          <w:szCs w:val="26"/>
        </w:rPr>
        <w:t xml:space="preserve">* в соответствии с Методикой расчета ключевого показателя, утвержденной приказом ФАС России от 29.08.2018 № 1232/18</w:t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jc w:val="center"/>
        <w:spacing w:lineRule="auto" w:line="259"/>
        <w:rPr>
          <w:szCs w:val="26"/>
        </w:rPr>
      </w:pPr>
      <w:r>
        <w:rPr>
          <w:szCs w:val="26"/>
          <w:lang w:val="en-US"/>
        </w:rPr>
        <w:t xml:space="preserve">III</w:t>
      </w:r>
      <w:r>
        <w:rPr>
          <w:szCs w:val="26"/>
        </w:rPr>
        <w:t xml:space="preserve">. План мероприятий («дорожная карта») по содействию развитию конкуренции в городском округе</w:t>
      </w:r>
      <w:r>
        <w:rPr>
          <w:szCs w:val="26"/>
        </w:rPr>
        <w:br/>
        <w:t xml:space="preserve">на 2022-2025 годы</w:t>
      </w:r>
      <w:r/>
    </w:p>
    <w:p>
      <w:pPr>
        <w:jc w:val="center"/>
        <w:rPr>
          <w:szCs w:val="26"/>
        </w:rPr>
      </w:pPr>
      <w:r>
        <w:rPr>
          <w:szCs w:val="26"/>
        </w:rPr>
      </w:r>
      <w:r/>
    </w:p>
    <w:p>
      <w:pPr>
        <w:pStyle w:val="29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Мероприятия на товарных рынках</w:t>
      </w:r>
      <w:r/>
    </w:p>
    <w:tbl>
      <w:tblPr>
        <w:tblW w:w="1498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4"/>
        <w:gridCol w:w="3747"/>
        <w:gridCol w:w="3180"/>
        <w:gridCol w:w="1841"/>
        <w:gridCol w:w="559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Ожидаемый результат (цель)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Срок реализации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Информация об исполнении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1. Рынок услуг по сбору и транспортированию твердых коммунальных отходов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Развитие системы селективного сбора ТКО: устройство контейнерных площадок установка новых контейнеров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Создание условий, обеспечивающих наиболее комфортные условия для проживания, работы и отдыха  населения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 2022 году </w:t>
            </w:r>
            <w:r>
              <w:rPr>
                <w:szCs w:val="26"/>
                <w:shd w:val="clear" w:color="auto" w:fill="FFFFFF"/>
              </w:rPr>
              <w:t xml:space="preserve">в рамках муниципальной программы «Охрана окружающей среды </w:t>
            </w:r>
            <w:r>
              <w:rPr>
                <w:szCs w:val="26"/>
                <w:shd w:val="clear" w:color="auto" w:fill="FFFFFF"/>
              </w:rPr>
              <w:t xml:space="preserve">Копейского</w:t>
            </w:r>
            <w:r>
              <w:rPr>
                <w:szCs w:val="26"/>
                <w:shd w:val="clear" w:color="auto" w:fill="FFFFFF"/>
              </w:rPr>
              <w:t xml:space="preserve"> городского округа» денежные </w:t>
            </w:r>
            <w:r>
              <w:rPr>
                <w:szCs w:val="26"/>
              </w:rPr>
              <w:t xml:space="preserve">средства в размере 3829,511</w:t>
            </w:r>
            <w:r>
              <w:rPr>
                <w:szCs w:val="26"/>
              </w:rPr>
              <w:t xml:space="preserve"> тыс. рублей (в том числе областной бюджет - </w:t>
            </w:r>
            <w:r>
              <w:rPr>
                <w:szCs w:val="26"/>
                <w:lang w:eastAsia="ru-RU"/>
              </w:rPr>
              <w:t xml:space="preserve">1835,415</w:t>
            </w:r>
            <w:r>
              <w:rPr>
                <w:szCs w:val="26"/>
              </w:rPr>
              <w:t xml:space="preserve"> тыс. рублей, местный бюджет -1994,095 тыс. рублей) направлены </w:t>
            </w:r>
            <w:r>
              <w:rPr>
                <w:szCs w:val="26"/>
              </w:rPr>
              <w:t xml:space="preserve">на</w:t>
            </w:r>
            <w:r>
              <w:rPr>
                <w:szCs w:val="26"/>
              </w:rPr>
              <w:t xml:space="preserve">:</w:t>
            </w:r>
            <w:r/>
          </w:p>
          <w:p>
            <w:pPr>
              <w:jc w:val="both"/>
            </w:pPr>
            <w:r>
              <w:rPr>
                <w:szCs w:val="26"/>
              </w:rPr>
              <w:t xml:space="preserve">- приобретение 12 евро контейнеров для сбора ТКО объемом 1,1 куб. м. каждый;</w:t>
            </w:r>
            <w:r/>
          </w:p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обустройство 41 контейнерной площадки, в соответствии с требованиями СанПиН 2.1.3684-21.  </w:t>
            </w:r>
            <w:r/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Cs w:val="26"/>
              </w:rPr>
              <w:t xml:space="preserve">На территории городского округа:</w:t>
            </w:r>
            <w:r/>
          </w:p>
          <w:p>
            <w:pPr>
              <w:jc w:val="both"/>
            </w:pPr>
            <w:r>
              <w:rPr>
                <w:color w:val="000000"/>
                <w:spacing w:val="1"/>
                <w:szCs w:val="26"/>
              </w:rPr>
              <w:t xml:space="preserve">- </w:t>
            </w:r>
            <w:r>
              <w:rPr>
                <w:szCs w:val="26"/>
              </w:rPr>
              <w:t xml:space="preserve">уровень обеспеченности контейнерным сбором ТКО составил 79,08 %;</w:t>
            </w:r>
            <w:r/>
          </w:p>
          <w:p>
            <w:pPr>
              <w:pStyle w:val="304"/>
              <w:jc w:val="both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szCs w:val="26"/>
                <w:lang w:val="ru-RU"/>
              </w:rPr>
              <w:t xml:space="preserve">- уровень обустройства контейнерных площадок составил 52,19 %.</w:t>
            </w:r>
            <w:r/>
          </w:p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Мероприятия по обустройству мест (площадок) накопления твердых коммунальных отходов (контейнерных площадок) будут продолжены в 2023 году.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Стимулирование новых предпринимательских инициатив и частной инициативы по транспортированию ТКО посредством проведения «круглых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столов»,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вебинаров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консультаций с действующими и потенциальными предпринимателями и коммерческими организациями.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Образовательные мероприятия могут обеспечить возможность для поиска, отбора и обучения потенциальных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предпринимателей и некоммерческих организаций с целью стимулирования новых предпринимательских инициатив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 2022 г. «круглые столы», </w:t>
            </w:r>
            <w:r>
              <w:rPr>
                <w:szCs w:val="26"/>
              </w:rPr>
              <w:t xml:space="preserve">вебинары</w:t>
            </w:r>
            <w:r>
              <w:rPr>
                <w:szCs w:val="26"/>
              </w:rPr>
              <w:t xml:space="preserve"> по вопросам транспортировки ТКО не проводились. </w:t>
            </w:r>
            <w:r/>
          </w:p>
          <w:p>
            <w:pPr>
              <w:jc w:val="both"/>
            </w:pPr>
            <w:r>
              <w:rPr>
                <w:szCs w:val="26"/>
              </w:rPr>
              <w:t xml:space="preserve">Субъекты предпринимательства по вопросу ведения деятельности в указанной сфере за консультацией не обращались.</w:t>
            </w:r>
            <w:r/>
          </w:p>
          <w:p>
            <w:pPr>
              <w:pStyle w:val="299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2. Рынок оказания услуг по перевозке пассажиров автомобильным транспортом по муниципальным маршрутам регулярных перевозок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Сбор, анализ и формирование предложений о внесении изменений в маршрутную сеть муниципального образования, а также сеть межмуниципальных мар</w:t>
            </w:r>
            <w:r>
              <w:rPr>
                <w:color w:val="000000" w:themeColor="text1"/>
                <w:szCs w:val="26"/>
              </w:rPr>
              <w:t xml:space="preserve">шрутов регулярных перевозок, проходящих через муниципальное образование, путём отмены, изменения, установления маршрутов регулярных перевозок с целью удовлетворения потребности населения в транспортном обслуживании на территории муниципального образования.</w:t>
            </w:r>
            <w:r>
              <w:rPr>
                <w:color w:val="000000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Удовлетворение в полном объёме потребностей населения в перевозках, развитие сектора регулярных перевозок в населённых пунктах муниципального образования с неудовлетворительной транспортной доступностью населения.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Cs w:val="26"/>
              </w:rPr>
              <w:t xml:space="preserve">На территории городского округа для удобства населения с 15 августа 2022 года добавлены рейсы на 4 муниципальных маршрута регулярных перевозок по регулируемому тарифу.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Размещение информации о расписании общественного транспорта общего пользования и схем движения на остановочных пунктах, разворотных площадках и транспортно-пересадочных узлах улично-дорожной сети муниципального образования, а также размещение расписания, </w:t>
            </w:r>
            <w:r>
              <w:rPr>
                <w:color w:val="000000" w:themeColor="text1"/>
                <w:szCs w:val="26"/>
              </w:rPr>
              <w:t xml:space="preserve">схем движения и контактных данных уполномо</w:t>
            </w:r>
            <w:r>
              <w:rPr>
                <w:color w:val="000000" w:themeColor="text1"/>
                <w:szCs w:val="26"/>
              </w:rPr>
              <w:t xml:space="preserve">ченных в обеспечении организации движения общественного транспорта по маршрутам регулярных перевозок на территории муниципального образования отделов (лиц) органов местного самоуправления, перевозчиков, органов субъекта федерации и контролирующих органов в</w:t>
            </w:r>
            <w:r>
              <w:rPr>
                <w:color w:val="000000" w:themeColor="text1"/>
                <w:szCs w:val="26"/>
              </w:rPr>
              <w:t xml:space="preserve"> открытом </w:t>
            </w:r>
            <w:r>
              <w:rPr>
                <w:color w:val="000000" w:themeColor="text1"/>
                <w:szCs w:val="26"/>
              </w:rPr>
              <w:t xml:space="preserve">доступе</w:t>
            </w:r>
            <w:r>
              <w:rPr>
                <w:color w:val="000000" w:themeColor="text1"/>
                <w:szCs w:val="26"/>
              </w:rPr>
              <w:t xml:space="preserve"> в информационно-телекоммуникационной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транспортом.</w:t>
            </w:r>
            <w:r>
              <w:rPr>
                <w:strike/>
                <w:color w:val="000000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В 2022 году 27 новых остановочных павильонов оборудованы</w:t>
            </w:r>
            <w:r>
              <w:t xml:space="preserve"> м</w:t>
            </w:r>
            <w:r>
              <w:rPr>
                <w:color w:val="000000" w:themeColor="text1"/>
                <w:szCs w:val="26"/>
              </w:rPr>
              <w:t xml:space="preserve">естом для размещения расписания и маршрута движения общественного транспорта, с возможностью доступа для замены информации. </w:t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Схема муниципальных маршрутов регулярных перевозок по регулируемому тарифу размещена на официальном сайте перевозчика МУП «</w:t>
            </w:r>
            <w:r>
              <w:rPr>
                <w:color w:val="000000" w:themeColor="text1"/>
                <w:szCs w:val="26"/>
              </w:rPr>
              <w:t xml:space="preserve">Копейское</w:t>
            </w:r>
            <w:r>
              <w:rPr>
                <w:color w:val="000000" w:themeColor="text1"/>
                <w:szCs w:val="26"/>
              </w:rPr>
              <w:t xml:space="preserve"> пассажирское автопредприятие» (далее - МУП КПА) https://mupkpa.su/shema.</w:t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Расписание муниципальных маршрутов регулярных перевозок городского округа по регулируемому тарифу размещено в открытом доступе в информационно-телекоммуникационной сети Интернет на официальном сайте МУП КПА (https://mupkpa.su/), в группе «</w:t>
            </w:r>
            <w:r>
              <w:rPr>
                <w:color w:val="000000" w:themeColor="text1"/>
                <w:szCs w:val="26"/>
              </w:rPr>
              <w:t xml:space="preserve">ВКонтакте</w:t>
            </w:r>
            <w:r>
              <w:rPr>
                <w:color w:val="000000" w:themeColor="text1"/>
                <w:szCs w:val="26"/>
              </w:rPr>
              <w:t xml:space="preserve">» МУП КПА). </w:t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Расписание муниципальных маршрутов регулярных перевозок городского округа по нерегулируемому тарифу размещено в реестре маршрутов Челябинской агломерации на официальном сайте Министерства дорожного хозяйства и транспорта челябинской области </w:t>
            </w:r>
            <w:r>
              <w:rPr>
                <w:color w:val="000000" w:themeColor="text1"/>
                <w:szCs w:val="26"/>
              </w:rPr>
            </w:r>
            <w:r/>
            <w:r>
              <w:rPr>
                <w:color w:val="000000" w:themeColor="text1"/>
                <w:szCs w:val="26"/>
              </w:rPr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</w:r>
            <w:r>
              <w:rPr>
                <w:color w:val="000000" w:themeColor="text1"/>
                <w:szCs w:val="26"/>
              </w:rPr>
              <w:t xml:space="preserve">https://mindortrans.gov74.ru/mindortrans/activities/Transport/Obsestvenniytransport.htm</w:t>
            </w:r>
            <w:r/>
            <w:r>
              <w:rPr>
                <w:color w:val="000000" w:themeColor="text1"/>
                <w:szCs w:val="26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Создание и развитие частного сектора по перевозке пассажир</w:t>
            </w:r>
            <w:r>
              <w:rPr>
                <w:color w:val="000000" w:themeColor="text1"/>
                <w:szCs w:val="26"/>
              </w:rPr>
              <w:t xml:space="preserve">ов автотранспортом по муниципальным маршрутам регулярных перевозок, путём реорганизации Муниципальных унитарных предприятий, осуществляющих данный вид деятельности в иные организационно-правовые формы, создание благоприятных условий субъектам транспортной </w:t>
            </w:r>
            <w:r>
              <w:rPr>
                <w:color w:val="000000" w:themeColor="text1"/>
                <w:szCs w:val="26"/>
              </w:rPr>
              <w:t xml:space="preserve">инфраструктуры, создание условий, обеспечивающих безопасное и качественное предоставление услуг по перевозке пассажиров.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Увеличение количества перевозчиков негосударственных форм собственности, обеспечение условий безопасного и качественного предоставления услуг по перевозке пассажиров.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Cs w:val="26"/>
              </w:rPr>
              <w:t xml:space="preserve">В силу Закона Чел</w:t>
            </w:r>
            <w:r>
              <w:rPr>
                <w:color w:val="000000" w:themeColor="text1"/>
                <w:szCs w:val="26"/>
              </w:rPr>
              <w:t xml:space="preserve">ябинской области № 71-ЗО                     «О перераспределении полномочий» - полномочиями по установлению, изменению и отмене муниципальных маршрутов регулярных перевозок городского округа обладает только Министерство дорожного хозяйства и транспорта Че</w:t>
            </w:r>
            <w:r>
              <w:rPr>
                <w:color w:val="000000" w:themeColor="text1"/>
                <w:szCs w:val="26"/>
              </w:rPr>
              <w:t xml:space="preserve">лябинской области. Право перевозчика на осуществление перевозок по муниципальным маршрутам регулярных перевозок по регулируемому тарифу определяется по результатам проведения открытых аукционов не зависимо от форм собственности участников данных процедур. </w:t>
            </w:r>
            <w:r>
              <w:rPr>
                <w:color w:val="000000" w:themeColor="text1"/>
                <w:szCs w:val="26"/>
              </w:rPr>
              <w:t xml:space="preserve">Контроль за</w:t>
            </w:r>
            <w:r>
              <w:rPr>
                <w:color w:val="000000" w:themeColor="text1"/>
                <w:szCs w:val="26"/>
              </w:rPr>
              <w:t xml:space="preserve"> обеспечением условий безопасного и качественного предоставления услуг по перевозке пассажиров осуществляет ОГКУ «Организатор перевозок Челябинской области» и органы исполнительной власти </w:t>
            </w:r>
            <w:r>
              <w:rPr>
                <w:color w:val="000000" w:themeColor="text1"/>
                <w:szCs w:val="26"/>
              </w:rPr>
              <w:t xml:space="preserve">Ространснадзора</w:t>
            </w:r>
            <w:r>
              <w:rPr>
                <w:color w:val="000000" w:themeColor="text1"/>
                <w:szCs w:val="26"/>
              </w:rPr>
              <w:t xml:space="preserve">.</w:t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На 2022-2024 год запланировано проведение мероприятий по приведению остановочных пунктов в нормативное состояние, включая обустройство посадочными площадками, установку новых павильонов (при их отсутствии и наличии технической возможности для установки). </w:t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В течение года оборудовано 27 остановочных пунктов. Так же, в рамках ремонта автомобильных дорог ул. Мира, ул. Баженова выполнен ремонт заездных карманов, посадочных площадок на всем протяжении автодорог.</w:t>
            </w:r>
            <w:r/>
          </w:p>
        </w:tc>
      </w:tr>
      <w:tr>
        <w:trPr>
          <w:trHeight w:val="4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Участие в совместных мероприятиях с уполномоченными органами федеральной исполнительной власти и исполнительной власти муниципального образования по пресечению де</w:t>
            </w:r>
            <w:r>
              <w:rPr>
                <w:color w:val="000000" w:themeColor="text1"/>
                <w:szCs w:val="26"/>
              </w:rPr>
              <w:t xml:space="preserve">ятельности по перевозке пассажиров по муниципальным и межмуниципальным маршрутам регулярных перевозок на территории муниципального образования без заключенных контрактов или выданных свидетельств об осуществлении перевозок по маршрутам регулярных перевозок</w:t>
            </w:r>
            <w:r/>
          </w:p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</w:r>
            <w:r>
              <w:rPr>
                <w:color w:val="000000" w:themeColor="text1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Контроль за</w:t>
            </w:r>
            <w:r>
              <w:rPr>
                <w:color w:val="000000" w:themeColor="text1"/>
                <w:szCs w:val="26"/>
              </w:rPr>
              <w:t xml:space="preserve"> обеспечением на рынке только легальных перевозчиков, вытеснение с рынка нелегальных перевозчиков, в случае их выявления.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Cs w:val="26"/>
              </w:rPr>
              <w:t xml:space="preserve">В городском округе перевозчики, осуществляющие перевозку пассажиров и багажа, без заключенных контрактов, выданных свидетельств и карт маршрута регулярных перевозок отсутствуют.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3. Рынок услуг розничной торговли лекарственными препаратами, медицинскими изделиями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Оказание консультационной помощи субъектам малого и среднего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Повышение информационной грамотности предпринимателей, осуществляющих хозяйственную деятельность на рынке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6"/>
              </w:rPr>
              <w:t xml:space="preserve">В управлении экономического развития работает информационно-консультационный центр. </w:t>
            </w:r>
            <w:r/>
          </w:p>
          <w:p>
            <w:pPr>
              <w:jc w:val="both"/>
            </w:pPr>
            <w:r>
              <w:rPr>
                <w:szCs w:val="26"/>
              </w:rPr>
              <w:t xml:space="preserve">За консультациями по вопросам лицензирования фармацевтическо</w:t>
            </w:r>
            <w:r>
              <w:rPr>
                <w:szCs w:val="26"/>
              </w:rPr>
              <w:t xml:space="preserve">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 субъекты малого и среднего предпринимательства не обращались.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4. Торговля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открытых опросов субъектов предпринимательской деятельности в целях определения спроса/потребности в предоставлении мест под размещение нестационарных торговых объектов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Увеличение количества нестационарных и мобильных торговых объектов и торговых мест под них не менее чем на 10 процентов к 2025 году по отношению к 2020 году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t xml:space="preserve">В период с 15.11.2022 по 14.12.2022 с целью определения потребности в новых локациях для размещения нестационарных торговых объектов и в соответствии с установленным порядком формирования схемы </w:t>
            </w:r>
            <w:r>
              <w:t xml:space="preserve">размещения нестационарных торговых объектов (далее – Схема НТО) на официальном сайте администрации городского округа размещен проект Схемы НТО и информация для юридических лиц и предпринимателей о порядке внесения изменений, дополнений в Схему НТО, а также</w:t>
            </w:r>
            <w:r>
              <w:t xml:space="preserve"> иных предложений по содержанию Схемы НТО. </w:t>
            </w:r>
            <w:r/>
          </w:p>
          <w:p>
            <w:pPr>
              <w:jc w:val="both"/>
            </w:pPr>
            <w:r>
              <w:t xml:space="preserve">За указанный период предложения, дополнения и замечания от юридических лиц и предпринимателей не поступали.</w:t>
            </w:r>
            <w:r/>
          </w:p>
          <w:p>
            <w:pPr>
              <w:jc w:val="both"/>
              <w:rPr>
                <w:rFonts w:eastAsia="Calibri"/>
                <w:color w:val="000000"/>
                <w:szCs w:val="27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7"/>
                <w:lang w:eastAsia="ru-RU"/>
              </w:rPr>
              <w:t xml:space="preserve">Постановлением администрации городского округа от 24.11.2021 № 2791-п утвержден Порядок </w:t>
            </w:r>
            <w:r>
              <w:rPr>
                <w:szCs w:val="27"/>
                <w:lang w:eastAsia="ru-RU"/>
              </w:rPr>
              <w:t xml:space="preserve">предоставления торговых мест для размещения мобильных торговых объектов</w:t>
            </w:r>
            <w:r>
              <w:rPr>
                <w:rFonts w:eastAsia="Calibri"/>
                <w:color w:val="000000"/>
                <w:szCs w:val="27"/>
                <w:shd w:val="clear" w:color="auto" w:fill="FFFFFF"/>
                <w:lang w:eastAsia="en-US"/>
              </w:rPr>
              <w:t xml:space="preserve">.</w:t>
            </w:r>
            <w:r/>
          </w:p>
          <w:p>
            <w:pPr>
              <w:jc w:val="both"/>
              <w:rPr>
                <w:color w:val="000000"/>
                <w:szCs w:val="27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Cs w:val="26"/>
                <w:lang w:eastAsia="en-US"/>
              </w:rPr>
              <w:t xml:space="preserve">Количество нестационарных торговых объектов по отношению к 2020 году увеличилось на 10,9 %. </w:t>
            </w:r>
            <w:r>
              <w:rPr>
                <w:color w:val="000000"/>
              </w:rPr>
              <w:t xml:space="preserve">Ключевой плановый </w:t>
            </w:r>
            <w:r>
              <w:rPr>
                <w:color w:val="000000"/>
              </w:rPr>
              <w:t xml:space="preserve">показатель</w:t>
            </w:r>
            <w:r>
              <w:rPr>
                <w:color w:val="000000"/>
              </w:rPr>
              <w:t xml:space="preserve"> не достигнут в связи с </w:t>
            </w:r>
            <w:r>
              <w:rPr>
                <w:color w:val="000000"/>
                <w:highlight w:val="white"/>
              </w:rPr>
              <w:t xml:space="preserve">расторжением ранее заключенных договоров аренды земельных участков для эксплуатации объектов мелкорозничной торговли, продление которых не предусмотрено Законом Челябинской области № 131-ЗО </w:t>
            </w:r>
            <w:r>
              <w:rPr>
                <w:color w:val="000000" w:themeColor="text1"/>
                <w:highlight w:val="white"/>
              </w:rPr>
              <w:t xml:space="preserve">«О порядке и условиях размещения нестационарных торговых объектов на землях или земельных участках, находящихся в </w:t>
            </w:r>
            <w:r>
              <w:rPr>
                <w:color w:val="000000" w:themeColor="text1"/>
                <w:highlight w:val="white"/>
              </w:rPr>
              <w:t xml:space="preserve">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>
              <w:rPr>
                <w:color w:val="000000" w:themeColor="text1"/>
              </w:rPr>
              <w:t xml:space="preserve">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Ведение торгового реестра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Создание системы информационного обеспечения в области торговой деятельности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Ведение торгов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ого реестра осуществляется на постоянной основе специалистом отдела по инвестиционной политике поддержке и развитию предпринимательства. Отчетность по заполнению реестра ежеквартально направляется в Министерство экономического развития Челябинской области.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территории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Создание системы информационного обеспечения в области торговой деятельности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Дислокации торговых объектов, общественного питания и бытового обслуживания населения, расположенных на территории городского округа актуализируется на постоянной основе. Актуализированная дислокация ежегодно направляется в Министерство экономического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развития Челябинской области. 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актуализация реестра и плана организации розничных рынков городского округа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стимулирование развития розничной торговли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 территории городского округа розничные рынки отсутствуют.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определение и организация новых точек для развития (открытия) юридическими и физическими лицами новых торговых объектов всех форм торговли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увеличение количества нестационарных торговых объектов и различных форм малоформатной торговли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tabs>
                <w:tab w:val="left" w:pos="9214" w:leader="none"/>
              </w:tabs>
              <w:rPr>
                <w:szCs w:val="26"/>
              </w:rPr>
            </w:pPr>
            <w:r>
              <w:rPr>
                <w:szCs w:val="26"/>
                <w:lang w:eastAsia="en-US"/>
              </w:rPr>
              <w:t xml:space="preserve">Установка нестационарных торговых объектов регулируется Порядком размещения нестационарных торговых объектов на территории городского округа, утвержденным решением Собрания депутатов от 24.08.2022 № 549-МО. </w:t>
            </w:r>
            <w:r/>
          </w:p>
          <w:p>
            <w:pPr>
              <w:jc w:val="both"/>
              <w:tabs>
                <w:tab w:val="left" w:pos="9214" w:leader="none"/>
              </w:tabs>
              <w:rPr>
                <w:szCs w:val="27"/>
              </w:rPr>
            </w:pPr>
            <w:r>
              <w:rPr>
                <w:szCs w:val="27"/>
              </w:rPr>
              <w:t xml:space="preserve">Положением о порядке предоставления торговых мест для размещен</w:t>
            </w:r>
            <w:r>
              <w:rPr>
                <w:szCs w:val="27"/>
              </w:rPr>
              <w:t xml:space="preserve">ия нестационарных объектов сезонной торговли, утвержденным постановлением администрации городского округа от 27.08.2020                      № 1933-п, определен порядок предоставления торговых мест для размещения нестационарных объектов сезонной торговли. </w:t>
            </w:r>
            <w:r/>
          </w:p>
          <w:p>
            <w:pPr>
              <w:jc w:val="both"/>
              <w:tabs>
                <w:tab w:val="left" w:pos="9214" w:leader="none"/>
              </w:tabs>
              <w:rPr>
                <w:szCs w:val="27"/>
              </w:rPr>
            </w:pPr>
            <w:r>
              <w:rPr>
                <w:szCs w:val="27"/>
              </w:rPr>
              <w:t xml:space="preserve">Схема торговых мест для размещения нестационарных объектов сезонной торговли на территории городского округа утверждена постановлением администрации </w:t>
            </w:r>
            <w:r>
              <w:rPr>
                <w:szCs w:val="27"/>
              </w:rPr>
              <w:t xml:space="preserve">Копейского</w:t>
            </w:r>
            <w:r>
              <w:rPr>
                <w:szCs w:val="27"/>
              </w:rPr>
              <w:t xml:space="preserve"> городского округа от 01.03.2021 № 351-п. </w:t>
            </w:r>
            <w:r/>
          </w:p>
          <w:p>
            <w:pPr>
              <w:jc w:val="both"/>
              <w:tabs>
                <w:tab w:val="left" w:pos="9214" w:leader="none"/>
              </w:tabs>
              <w:rPr>
                <w:szCs w:val="27"/>
              </w:rPr>
            </w:pPr>
            <w:r>
              <w:rPr>
                <w:szCs w:val="27"/>
              </w:rPr>
              <w:t xml:space="preserve">Схема торговых мест ежегодно актуализируется. В 2022 году количество торговых мест на объектах сезонной торговли составило - 45. Порядком организации и проведения ярмарок, продажи товаров (выполнения работ, ок</w:t>
            </w:r>
            <w:r>
              <w:rPr>
                <w:szCs w:val="27"/>
              </w:rPr>
              <w:t xml:space="preserve">азания услуг) на них на территории городского округа, утвержденным постановлением администрации  от 14.05.2020                       № 963-п, регулируется процедура организации проведения ярмарок и продажи товаров (выполнения работ, оказания услуг) на них.</w:t>
            </w:r>
            <w:r/>
          </w:p>
          <w:p>
            <w:pPr>
              <w:jc w:val="both"/>
              <w:tabs>
                <w:tab w:val="left" w:pos="9214" w:leader="none"/>
              </w:tabs>
            </w:pPr>
            <w:r>
              <w:rPr>
                <w:szCs w:val="27"/>
              </w:rPr>
              <w:t xml:space="preserve">На территории округа предусмотрено </w:t>
            </w:r>
            <w:r>
              <w:rPr>
                <w:rFonts w:eastAsia="Calibri"/>
                <w:szCs w:val="27"/>
                <w:lang w:eastAsia="en-US"/>
              </w:rPr>
              <w:t xml:space="preserve">7 ярмарочных площадок совокупной площадью 5822,0 м.</w:t>
            </w:r>
            <w:r>
              <w:rPr>
                <w:rFonts w:eastAsia="Calibri"/>
                <w:szCs w:val="27"/>
                <w:vertAlign w:val="superscript"/>
                <w:lang w:eastAsia="en-US"/>
              </w:rPr>
              <w:t xml:space="preserve">2</w:t>
            </w:r>
            <w:r/>
          </w:p>
          <w:p>
            <w:pPr>
              <w:jc w:val="both"/>
              <w:tabs>
                <w:tab w:val="left" w:pos="720" w:leader="none"/>
              </w:tabs>
              <w:rPr>
                <w:szCs w:val="27"/>
                <w:highlight w:val="yellow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7"/>
                <w:lang w:eastAsia="ru-RU"/>
              </w:rPr>
              <w:t xml:space="preserve">Постановлением администрации от 21.09.2021               № 2229-п утвержден</w:t>
            </w:r>
            <w:r>
              <w:rPr>
                <w:szCs w:val="27"/>
                <w:lang w:eastAsia="ru-RU"/>
              </w:rPr>
              <w:t xml:space="preserve">ы</w:t>
            </w:r>
            <w:r>
              <w:rPr>
                <w:szCs w:val="27"/>
                <w:lang w:eastAsia="ru-RU"/>
              </w:rPr>
              <w:t xml:space="preserve"> торговые места для реализации сельскохозяйственной продукции гражданами, ведущими крестьянские (фермерские) хозяйства, личные подсобные хозяйства или занимающимися садоводством. Количество торговых мест - 14. Места предоставляются на безвозмездной основе.</w:t>
            </w:r>
            <w:r/>
          </w:p>
          <w:p>
            <w:pPr>
              <w:jc w:val="both"/>
              <w:tabs>
                <w:tab w:val="left" w:pos="720" w:leader="none"/>
              </w:tabs>
              <w:rPr>
                <w:szCs w:val="27"/>
                <w:highlight w:val="yellow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7"/>
                <w:lang w:eastAsia="ru-RU"/>
              </w:rPr>
              <w:t xml:space="preserve">На территории торгового комплекса «Янтарь» предусмотрено 14 бесплатных торговых мест для граждан, ведущих личные подсобных хозяйства, садоводов и огородников, в период летне-осеннего сезона количество торговых мест увеличивается до 27.</w:t>
            </w:r>
            <w:r/>
          </w:p>
          <w:p>
            <w:pPr>
              <w:jc w:val="both"/>
              <w:rPr>
                <w:color w:val="000000"/>
                <w:szCs w:val="27"/>
                <w:shd w:val="clear" w:color="auto" w:fill="FFFFFF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7"/>
                <w:lang w:eastAsia="ru-RU"/>
              </w:rPr>
              <w:t xml:space="preserve">Постановлением администрации от 24.11.2021              № 2791-п утвержден порядок размещения </w:t>
            </w:r>
            <w:r>
              <w:rPr>
                <w:rFonts w:eastAsia="Calibri"/>
                <w:color w:val="000000"/>
                <w:szCs w:val="27"/>
                <w:shd w:val="clear" w:color="auto" w:fill="FFFFFF"/>
                <w:lang w:eastAsia="en-US"/>
              </w:rPr>
              <w:t xml:space="preserve">и функционирования мобильных торговых объектов. </w:t>
            </w:r>
            <w:r>
              <w:rPr>
                <w:color w:val="000000"/>
                <w:szCs w:val="27"/>
                <w:shd w:val="clear" w:color="auto" w:fill="FFFFFF"/>
                <w:lang w:eastAsia="ru-RU"/>
              </w:rPr>
              <w:t xml:space="preserve">Размещение мобильных торговых объектов осуществляется на </w:t>
            </w:r>
            <w:r>
              <w:rPr>
                <w:color w:val="000000"/>
                <w:szCs w:val="27"/>
                <w:shd w:val="clear" w:color="auto" w:fill="FFFFFF"/>
                <w:lang w:eastAsia="ru-RU"/>
              </w:rPr>
              <w:t xml:space="preserve">бесплатной основе и без включения</w:t>
            </w:r>
            <w:r>
              <w:rPr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color w:val="000000"/>
                <w:szCs w:val="27"/>
                <w:shd w:val="clear" w:color="auto" w:fill="FFFFFF"/>
                <w:lang w:eastAsia="ru-RU"/>
              </w:rPr>
              <w:t xml:space="preserve">мобильных торговых объектов в схему размещения нестационарных торговых объектов.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6)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Включение новых мест для размещения нестационарных торговых объектов (киосков, павильонов) в схемы размещения нестационарных торговых объектов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Развитие торговли с использованием нестационарных торговых объектов на территории городского округа, размещение доступной информации о компенсационных местах для размещения нестационарных торговых объектов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Включение новых ме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ст в сх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ему размещения нестационарных торговых объектов осуществляется в соответствии с Порядком  размещения нестационарных торговых объектов,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утвержденным решением Собрания депутатов от 24.08.2022 № 549-МО.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схема размещения НТО оптимизирована с учетом изменений, внесенных  в Генеральный план городского округа, а также с целью достижения норм обеспечения торговыми точками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вне центральной части городского округа (увеличено количество НТО в жилых массивах).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Мониторинг розничных цен на определенный перечень социально значимых товаров в разрезе ряда муниципальных образований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Анализ ценовой ситуации на продовольственном рынке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t xml:space="preserve">Мониторинг проводится 2 раза в неделю (понедельник, вторник), результаты мониторинга оформляются в электронном виде в системе Единой городской автоматизированной системе информационного обеспечения и аналитике потребительского рынка (ЕГАС СИОПР).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8)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Консультационное и информационно-аналитическое обеспечение участников потребительского рынка, в том числе путем проведения семинаров, совещаний, круглых столов для субъектов предпринимательской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Доведение актуальной информации до предпринимательского сообщества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течение 2022 года для субъектов малого и среднего предпринимательства: 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- на официальном сайте администрации городского округа размещено 135 информационных сообщений; 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- предоставлена 61 консультация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; 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- проведено 8 мероприятий.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5. Рынок ритуальных услуг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ind w:firstLine="3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Мероприятия по реорганизации муниципальных унитарных предприятий и муниципальных бюджетных учреждений в муниципальные казенные учреждения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Уход муниципалитетов с рынка ритуальных услуг. Муниципальные казенные учреждения оказывают услуги только по гарантированному перечню и содержанию мест захоронения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Муниципальные унитарные предприятия, оказывающие ритуальные услуги, на территории городского округа отсутствуют.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Сбор и анализ информации о состоянии конкурентной среды на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рынке ритуальных услуг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Наличие актуальной информации о состоянии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рынка ритуальных услуг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 данным Единого реестра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сайта Федеральной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налоговой службы России по состоянию на 1 января 2023 года на территории городского округа зарегистрировано по ОКВЭД: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96.03 – Организация похорон и предоставление связанных с ними услуг 5 субъектов малого и среднего предпринимательства;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47.78.4 - Торговля розничная предметами культового и религиозного назначения, похоронными принадлежностями в специализированных магазинах 1 субъект малого и среднего предпринимательства.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Размещение на официальном сайте администрации городского округа информации о порядке предоставления и стоимости услуг, предоставляемых согласно гарантированному перечню услуг по погребению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Обеспечение доступа потребителей к информации о порядке предоставления и стоимости услуг по погребению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 w:eastAsia="Calibri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 официальном сайте управления социальной защиты населения администрации городского округа в разделе «Меры социальной поддержки населения» - «Социальное пособие на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погребение» размещена информация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о порядке предоставления и стоимости услуг, предоставляемых согласно гарантированному перечню услуг по погребению (http://usznkopeysk.ru/htmlpages/Show/Merysocialnojpodderzhkinaselen/Dlyalgotnyxkategorijgrazhdan/Licoosushhestvivsheepogrebeni),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 также эта информация размещена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 сайте Собрания депутатов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Копейского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городского округа </w:t>
            </w:r>
            <w:r>
              <w:rPr>
                <w:rFonts w:ascii="Times New Roman" w:hAnsi="Times New Roman" w:cs="Times New Roman" w:eastAsia="Calibri"/>
                <w:sz w:val="24"/>
                <w:szCs w:val="26"/>
                <w:lang w:eastAsia="en-US"/>
              </w:rPr>
              <w:t xml:space="preserve">https://kopeysk-sobranie.ru/pravovyie-aktyi/normativno-pravovyie-resheniya</w:t>
            </w:r>
            <w:r>
              <w:rPr>
                <w:rFonts w:ascii="Times New Roman" w:hAnsi="Times New Roman" w:cs="Times New Roman" w:eastAsia="Calibri"/>
                <w:sz w:val="24"/>
                <w:szCs w:val="26"/>
                <w:lang w:eastAsia="en-US"/>
              </w:rPr>
              <w:t xml:space="preserve">/reshenie-№436-mo-ot-25.02.2022.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организация инвентаризации кладбищ и мест захоронений на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открытости процедур предоставления мест захоронения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 территории городского округа расположено 9 кладбищ. Контроль осуществляет МУ «Управление благоустройства».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6. Рынок услуг детского отдыха и оздоровления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Предоставление субсидий местным бюджетам на организацию отдыха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детей в каникулярное время, в том числе для направления средств субсидии в частные лагеря в целях поддержки частного бизнеса в развитии инфраструктуры детского отдыха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Развитие сектора организаций отдыха детей и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их оздоровления частной формы собственности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 целях оздоровления и отдыха детей и подростков в загородных лагерях в количестве 2030 человек из </w:t>
            </w:r>
            <w:r>
              <w:rPr>
                <w:szCs w:val="26"/>
              </w:rPr>
              <w:t xml:space="preserve">средств областного и местного бюджетов в 2022 году направлено 8482,9 тыс. рублей.</w:t>
            </w:r>
            <w:r/>
          </w:p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 оздоровление и отдых детей и подростков в лагерях с дневным пребыванием из средств областного и местного бюджетов направлено 6949,1 тыс. рублей. </w:t>
            </w:r>
            <w:r/>
          </w:p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Средства освоены в полном объеме.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7. Рынок теплоснабжения (производство тепловой энергии)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мониторинг схем теплоснабжения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разработка и актуализация схем теплоснабжения в соответствии с </w:t>
            </w:r>
            <w:hyperlink r:id="rId9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требованиями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, утвержденными постановлением Правительства Российской Федерации от                        22 февраля 2012 г. № 154 «О требованиях к схемам теплоснабжения, порядку их разработки и утверждения»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 территории городского округа деятельность по производству тепловой энергии осуществляют 8 организаций.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Документом, содержащим основную информацию о текущем состоянии и перспективном развитии систем теплоснабжения согласно </w:t>
            </w:r>
            <w:hyperlink r:id="rId10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части 4 статьи 4-2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Федерального закона от 27 июля 2010 года № 190-ФЗ «О теплоснабжении», является схема теплоснабжения.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/>
            <w:hyperlink r:id="rId11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Требования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к схемам теплос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набжения утверждены постановлением Правительства Российской Федерации от 22.02.2012 № 154 «О требованиях к схемам теплоснабжения, порядку их разработки и утверждения» (далее именуется - постановление Правительства Российской Федерации от 22.02.2012 № 154).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соответствии с </w:t>
            </w:r>
            <w:hyperlink r:id="rId12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пунктом 10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требований к порядку разработки и утверждения схем теплоснабжения, утвержденных постановлением Правительства Российской Федерации от 22.02.2012 № 154 (далее - Требования), схема ежегодно актуализируется.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Утверждение (актуализация) схем теплоснабжения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Увеличение числа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собственности, улучшение качества предоставляемых услуг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Согласно </w:t>
            </w:r>
            <w:hyperlink r:id="rId13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пункту 38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Требований, утверждение актуализированной схемы теплоснабжения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производится не позднее 1 июля года, предшествующего году, на который актуализируется схема теплоснабжения.</w:t>
            </w:r>
            <w:r/>
          </w:p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Схемы теплоснабжения </w:t>
            </w:r>
            <w:r>
              <w:rPr>
                <w:bCs/>
                <w:szCs w:val="28"/>
              </w:rPr>
              <w:t xml:space="preserve">городского округа на период 2014-2029 годы</w:t>
            </w:r>
            <w:r>
              <w:rPr>
                <w:szCs w:val="28"/>
              </w:rPr>
              <w:t xml:space="preserve"> по состоянию на 2023 год</w:t>
            </w:r>
            <w:r>
              <w:rPr>
                <w:color w:val="000000"/>
                <w:szCs w:val="28"/>
              </w:rPr>
              <w:t xml:space="preserve"> утверждены постановлением администрации городского округа от 28.11.2022 № 3101-п.</w:t>
            </w:r>
            <w:r/>
          </w:p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 размещено на официальном сайте администрации городского округа в разделе «Наш город» - «ЖКХ» - «Схема теплоснабжения </w:t>
            </w:r>
            <w:r>
              <w:rPr>
                <w:color w:val="000000"/>
                <w:szCs w:val="28"/>
              </w:rPr>
              <w:t xml:space="preserve">Копейского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городскго</w:t>
            </w:r>
            <w:r>
              <w:rPr>
                <w:color w:val="000000"/>
                <w:szCs w:val="28"/>
              </w:rPr>
              <w:t xml:space="preserve"> округа» https://akgo74.ru/city/zhkkh/skhema-teplosnabzheniya-kopeyskogo-gorodskogo-okruga/index.php.</w:t>
            </w: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Инвентаризация и выявление бесхозяйных тепловых сетей,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 также сетей, собственность на которые не оформлена. Оформление указанных сетей в собственность муниципального образования. Передача оформленных в собственность муниципального образования тепловых сетей хозяйствующим субъектам по концессионным соглашениям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Надежность теплоснабжения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результате проведенной инвентаризации в 2022 году в качестве бесхозяйного имущества осуществлена постановка на учет 3 тепловых сетей. Право собственности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Копейский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городской округ» зарегистрировано на 30 тепловых сетей. Указанные объекты не переданы по концессионным соглашениям.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8. Рынок выполнения работ по благоустройству городской среды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информационно-разъяснительных работ по формированию комфортной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городской среды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уровня компетенции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собственности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Информация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по формированию комфортной городской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среды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публикуется на официальном сайте администрации городского округа в разделе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«Формирование комфортной городской среды» https://akgo74.ru/city/formirovanie-gorodskoy-sredy.php.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Получение субсидии из бюджета Челябинской области на благоустройство общественных и дворовых территорий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уровня комфортности городской среды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благоустроены 4 общественные и 3 дворовые территории. Общий объем финан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сирования в рамках муниципальной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программы «Благоустройство городской среды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Копейского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городского округа» составил 55924,85 тыс. рублей в том числе средства областного бюджета в размере 2431,13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тыс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. р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ублей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. 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9. Рынок выполнения работ по содержанию и текущему ремонту общего имущества собственников помещений </w:t>
            </w:r>
            <w:r/>
          </w:p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многоквартирном доме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Организация и проведение конкурсов по отбору управляющей организации, предусмотренных Жилищным </w:t>
            </w:r>
            <w:hyperlink r:id="rId14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Российской Федерации и </w:t>
            </w:r>
            <w:hyperlink r:id="rId15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проведения органом местного самоуправления открытого конкурса по отбору управляющей организации для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управления многоквартирным домом, утвержденными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домом»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Увеличение количества организаций частной формы собственности на указанном рынке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</w:t>
            </w:r>
            <w:r>
              <w:rPr>
                <w:szCs w:val="28"/>
              </w:rPr>
              <w:t xml:space="preserve">ветствии с Федеральным законом от                             06 октября  2003 года № 131-ФЗ «Об общих принципах организации местного самоуправления в Российской Федерации», статьей 161 Жилищного кодекса Российской Федерации, постановлением Правительства Р</w:t>
            </w:r>
            <w:r>
              <w:rPr>
                <w:szCs w:val="28"/>
              </w:rPr>
              <w:t xml:space="preserve">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      </w:r>
            <w:r>
              <w:rPr>
                <w:szCs w:val="28"/>
              </w:rPr>
              <w:t xml:space="preserve">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администрацией городского округа в 2022 году проведено 6 открытых </w:t>
            </w:r>
            <w:r>
              <w:rPr>
                <w:bCs/>
                <w:szCs w:val="28"/>
              </w:rPr>
              <w:t xml:space="preserve">конкурсов по отбору управляющей организации для управления </w:t>
            </w:r>
            <w:r>
              <w:rPr>
                <w:bCs/>
                <w:szCs w:val="28"/>
              </w:rPr>
              <w:t xml:space="preserve">многоквартирным жилым домом</w:t>
            </w:r>
            <w:r>
              <w:rPr>
                <w:szCs w:val="28"/>
              </w:rPr>
              <w:t xml:space="preserve">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10.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  <w:r/>
          </w:p>
        </w:tc>
      </w:tr>
      <w:tr>
        <w:trPr>
          <w:trHeight w:val="8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" w:type="dxa"/>
            <w:vMerge w:val="restart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7" w:type="dxa"/>
            <w:vMerge w:val="restart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Содействие реализации проекта по обеспечению широкополосного доступа жителей к информационно-телекоммуникационной сети Интернет в малых населенных пунктах, в том числе посредством универсальных услуг связи, 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Обеспечение доступа жителей малых населенных пунктов к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Merge w:val="restart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0" w:type="dxa"/>
            <w:vMerge w:val="restart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Перечень объектов муниципальной с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обственности для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организации процедуры предоставления данных объектов в целях размещения объектов и сооружений сре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дств св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язи в 2022 году не формировался.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Управление по имуществу и земельным отношениям администрации городского округа предоставляет без торгов при необходимости по заявлениям операторам связи муниципальное имущество, в том числе земельные участки.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Снижение административных барьеров в отношении согласования разме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щения объектов связи на объектах муниципальной собственности, сокращения сроков согласования сделок по передаче в аренду (пользование) объектов муниципальной собственности, земельных участков, арендаторами (пользователями) которых выступают операторы связи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Создание благоприятных условий для развития новейших стандартов связи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Предоставление в аренду (поль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зование) объектов муниципальной собственности, земельных участков, арендаторами (пользователями) которых выступают операторы связи, осуществляется в соответствии с Земельным кодексом РФ. Заявление операторов связи рассматриваются в наиболее короткие сроки.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11. Рынок дорожной деятельности (за исключением проектирования)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Заключение муниципальных контрактов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 подрядчиками в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соответствии с требованиями законодательства Российской Федерации о контрактной системе в сфере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закупок товаров, работ, услуг для обеспечения государственных и муниципальных нужд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Достижение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доли присутствия организаций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в сфере дорожной деятельности не менее 80 процентов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8"/>
              </w:rPr>
              <w:t xml:space="preserve">В 2022 году заключено 45 контрактов с подрядными организациями на сумму 251,1 </w:t>
            </w:r>
            <w:r>
              <w:rPr>
                <w:szCs w:val="28"/>
              </w:rPr>
              <w:t xml:space="preserve">млн</w:t>
            </w:r>
            <w:r>
              <w:rPr>
                <w:szCs w:val="28"/>
              </w:rPr>
              <w:t xml:space="preserve"> рублей. Все </w:t>
            </w:r>
            <w:r>
              <w:rPr>
                <w:szCs w:val="28"/>
              </w:rPr>
              <w:t xml:space="preserve">контракты заключены с организациями частной форм собственности.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12. Рынок легкой промышленности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Информирование участников промышленных кластеров о предоставлении финансовой поддержки в виде возм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ещения части затрат на приобретение оборудования в целях модернизации и технического перевооружения производственных мощностей путем размещения информации в информационно-телекоммуникационной сети Интернет на официальном сайте администрации горского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информированности участников промышленных кластеров об оказании финансовой поддержки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Информирование субъектов проводится путем размещения информации о предоставлении финансовой поддержки на официальном сайте администрации городского округа и рассылкой на электронные адреса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https://akgo74.ru/administratsiya/predprinimatelstvo/finansovaya-podderzhka/2022-god/2022-god.php.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13. Рынок поставки сжиженного газа в баллонах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ежегодного мониторинга потребности населения в сжиженном газе в баллонах для бытовых нужд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Наличие информации о потребностях населения в сжиженном газе в баллонах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связи с отсутствием на территории городского округа поставщиков сжиженного газа, проведение мониторинга потребности населения в сжиженном газе в баллонах для бытовых нужд не представляется возможным.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Формирование и размещение на сайте  администрации округа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реестра субъектов предпринимательской деятельности, осуществляющих заправку и поставку сжиженного газа в баллонах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населения об организациях, осуществляющих поставку сжиженного газа в баллонах, повышение уровня конкуренции организаций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 территории городского округа заправка бытовых газовых баллонов сжиженным углеводородным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газом не осуществляется.</w:t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14. Рынок оказания услуг по ремонту автотранспортных средств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Мониторинг хозяйствующих субъектов, предоставляющих услуги по ремонту автотранспортных средств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Выявление административных и иных барьеров при входе на рынок и при осуществлении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Мониторинг субъектов, предоставляющих услуги по ремонту автотранспортных средств, осуществляется посредством Единого реестра субъектов малого и среднего предпринимательства официального сайта Федеральной налоговой службы, системы Дубль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ГИС. 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 состоянию на 01.01.2023 на территории городского округа зарегистрировано 78 организаций, в том числе 11 юридических лиц и 67 индивидуальных предпринимателей.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информированности организаций в сфере оказания услуг по ремонту автотранспортных средств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Администрацией городского округа предоставляются информационно-консультационные услуги субъектам малого и среднего предпринимательства,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самозанятым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, а так же физическим лицам планирующим осуществлять деятельность. 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за консультацией по вопросам оказания услуг в сфере ремонта автотранспорта субъекты малого и среднего предпринимательства не обращались. 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82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15. Сфера наружной рекламы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Размещение на официальном сайте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нормативных правовых актов, регулирующих сферу наружной рекламы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хозяйствующих субъектов о правовом регулировании сферы наружной рекламы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pStyle w:val="293"/>
              <w:ind w:left="0"/>
              <w:jc w:val="both"/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Нормативные правовые акты и местные локальные акты, регулирующие сферу наружной рекламы,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размещены на официальном сайте администрации городского округа в разделе «Предпринимательство» - «Реклама»</w:t>
            </w:r>
            <w:r/>
          </w:p>
          <w:p>
            <w:pPr>
              <w:pStyle w:val="293"/>
              <w:ind w:left="0"/>
              <w:jc w:val="both"/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(https://akgo74.ru/administratsiya/predprinimatelstvo/reklama.php).</w:t>
            </w:r>
            <w:r/>
          </w:p>
          <w:p>
            <w:pPr>
              <w:pStyle w:val="293"/>
              <w:ind w:left="0"/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</w:r>
            <w:r>
              <w:rPr>
                <w:rFonts w:ascii="Times New Roman" w:hAnsi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Актуализация схем размещения рекламных конструкций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Открытый доступ для хозяйствующих субъектов к схемам размещения рекламных конструкций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6"/>
              </w:rPr>
              <w:t xml:space="preserve">Схема размещения рекламных конструкций актуализирована, </w:t>
            </w:r>
            <w:r>
              <w:rPr>
                <w:szCs w:val="20"/>
              </w:rPr>
              <w:t xml:space="preserve">утверждена постановлением администрации городского округа от 02.09.2022          № 2315-п «Об утверждении схемы размещения рекламных конструкций независимо от форм собственности на территории муниципального образования «</w:t>
            </w:r>
            <w:r>
              <w:rPr>
                <w:szCs w:val="20"/>
              </w:rPr>
              <w:t xml:space="preserve">Копейский</w:t>
            </w:r>
            <w:r>
              <w:rPr>
                <w:szCs w:val="20"/>
              </w:rPr>
              <w:t xml:space="preserve"> городской округ» и размещена на официальном сайте </w:t>
            </w:r>
            <w:r>
              <w:rPr>
                <w:szCs w:val="26"/>
              </w:rPr>
              <w:t xml:space="preserve">городского округа в разделе «Предпринимательство» - «Реклама (</w:t>
            </w:r>
            <w:r>
              <w:rPr>
                <w:szCs w:val="20"/>
              </w:rPr>
              <w:t xml:space="preserve">https://akgo74.ru/administratsiya/predprinimatelstvo/reklama.php</w:t>
            </w:r>
            <w:r>
              <w:rPr>
                <w:szCs w:val="26"/>
              </w:rPr>
              <w:t xml:space="preserve">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торгов на право установки и эксплуатации рекламных конструкций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Повышение конкуренции среди хозяйствующих субъектов, повышение качества услуг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  <w:rPr>
                <w:color w:val="000000"/>
                <w:szCs w:val="20"/>
              </w:rPr>
            </w:pPr>
            <w:r>
              <w:rPr>
                <w:szCs w:val="20"/>
              </w:rPr>
              <w:t xml:space="preserve"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</w:t>
            </w:r>
            <w:r>
              <w:rPr>
                <w:szCs w:val="20"/>
              </w:rPr>
              <w:t xml:space="preserve">ниципальной собственности или государственная собственность на который не разграничена, а также на здании или ином недвижимом имуществе, находящемся в собственности субъектов Российской Федерации или муниципальной собственности проводятся в соответствии с </w:t>
            </w:r>
            <w:r>
              <w:rPr>
                <w:bCs/>
                <w:szCs w:val="20"/>
              </w:rPr>
              <w:t xml:space="preserve">пунктом 5.1 статьи 19 Федерального закона от 13 марта 2006 года</w:t>
            </w:r>
            <w:r>
              <w:rPr>
                <w:bCs/>
                <w:szCs w:val="20"/>
              </w:rPr>
              <w:t xml:space="preserve"> № 38-ФЗ «О рекламе», </w:t>
            </w:r>
            <w:hyperlink r:id="rId16" w:history="1">
              <w:r>
                <w:rPr>
                  <w:rStyle w:val="301"/>
                  <w:color w:val="000000" w:themeColor="text1"/>
                  <w:u w:val="none"/>
                </w:rPr>
                <w:t xml:space="preserve">Порядком организации и проведения торгов на право заключения договора на установку и эксплуатацию рекламной конструкции на территории муниципального образования «</w:t>
              </w:r>
              <w:r>
                <w:rPr>
                  <w:rStyle w:val="301"/>
                  <w:color w:val="000000" w:themeColor="text1"/>
                  <w:u w:val="none"/>
                </w:rPr>
                <w:t xml:space="preserve">Копейский</w:t>
              </w:r>
              <w:r>
                <w:rPr>
                  <w:rStyle w:val="301"/>
                  <w:color w:val="000000" w:themeColor="text1"/>
                  <w:u w:val="none"/>
                </w:rPr>
                <w:t xml:space="preserve"> городской округ» </w:t>
              </w:r>
              <w:r>
                <w:rPr>
                  <w:color w:val="000000" w:themeColor="text1"/>
                </w:rPr>
                <w:t xml:space="preserve">(постановление </w:t>
              </w:r>
              <w:r>
                <w:rPr>
                  <w:color w:val="000000" w:themeColor="text1"/>
                </w:rPr>
                <w:t xml:space="preserve">администрации </w:t>
              </w:r>
              <w:r>
                <w:rPr>
                  <w:color w:val="000000" w:themeColor="text1"/>
                </w:rPr>
                <w:t xml:space="preserve">Копейского</w:t>
              </w:r>
              <w:r>
                <w:rPr>
                  <w:color w:val="000000" w:themeColor="text1"/>
                </w:rPr>
                <w:t xml:space="preserve"> городского округа от 21.05.2021 № 985-п) </w:t>
              </w:r>
            </w:hyperlink>
            <w:r/>
            <w:r/>
          </w:p>
          <w:p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Информация о проведен</w:t>
            </w:r>
            <w:r>
              <w:rPr>
                <w:szCs w:val="20"/>
              </w:rPr>
              <w:t xml:space="preserve">ии </w:t>
            </w:r>
            <w:r>
              <w:rPr>
                <w:bCs/>
                <w:szCs w:val="20"/>
              </w:rPr>
              <w:t xml:space="preserve">ау</w:t>
            </w:r>
            <w:r>
              <w:rPr>
                <w:bCs/>
                <w:szCs w:val="20"/>
              </w:rPr>
              <w:t xml:space="preserve">кциона на право заключения договоров на установку и эксплуатацию рекламных конструкций</w:t>
            </w:r>
            <w:r>
              <w:rPr>
                <w:szCs w:val="20"/>
              </w:rPr>
              <w:t xml:space="preserve"> размещается на электронной торговой площадке (https://www.rts-tender.ru/).</w:t>
            </w:r>
            <w:r/>
          </w:p>
          <w:p>
            <w:pPr>
              <w:jc w:val="both"/>
            </w:pPr>
            <w:r>
              <w:rPr>
                <w:szCs w:val="26"/>
              </w:rPr>
              <w:t xml:space="preserve">В 2022 году проведено 4 аукциона.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Выявление и демонтаж незаконных рекламных конструкций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соблюдением законодательства Российской Федерации в сфере наружной рекламы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0"/>
              </w:rPr>
              <w:t xml:space="preserve">Выявление незаконных рекламных конструкций осуществляется путем мониторинга размещения наружной рекламы на территории городского округа в соответствии с утвержденной Схемой </w:t>
            </w:r>
            <w:r>
              <w:rPr>
                <w:szCs w:val="26"/>
              </w:rPr>
              <w:t xml:space="preserve">размещения рекламных конструкций. </w:t>
            </w:r>
            <w:r>
              <w:rPr>
                <w:szCs w:val="20"/>
              </w:rPr>
              <w:t xml:space="preserve">Демонтаж незако</w:t>
            </w:r>
            <w:r>
              <w:rPr>
                <w:szCs w:val="20"/>
              </w:rPr>
              <w:t xml:space="preserve">нных рекламных конструкций осуществляется в соответствии с решением Собрания депутатов городского округа от 27.05.2020 № 882-МО                 «Об утверждении Порядка распространения наружной рекламы и информации на территории муниципального образования «</w:t>
            </w:r>
            <w:r>
              <w:rPr>
                <w:szCs w:val="20"/>
              </w:rPr>
              <w:t xml:space="preserve">Копейский</w:t>
            </w:r>
            <w:r>
              <w:rPr>
                <w:szCs w:val="20"/>
              </w:rPr>
              <w:t xml:space="preserve"> городской округ».</w:t>
            </w:r>
            <w:r/>
          </w:p>
          <w:p>
            <w:pPr>
              <w:jc w:val="both"/>
            </w:pPr>
            <w:r>
              <w:rPr>
                <w:szCs w:val="20"/>
              </w:rPr>
              <w:t xml:space="preserve">По итогам 2022 года выявлено 18 рекламных конструкций, установленных с нарушением действующего законодательства, демонтировано 5 рекламных конструкций.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7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Осуществление взаимодействия органов власти при осуществлении контроля в сфере наружной рекламы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соблюдением законодательства Российской Федерации в сфере наружной рекламы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0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0"/>
              </w:rPr>
              <w:t xml:space="preserve">Взаимодействие органов власти при осуществлении контроля в сфере наружной рекламы осуществляется в соответствии с Фе</w:t>
            </w:r>
            <w:r>
              <w:rPr>
                <w:bCs/>
                <w:szCs w:val="20"/>
              </w:rPr>
              <w:t xml:space="preserve">деральным законом от 13 марта 2006 года № 38-ФЗ «О рекламе», а также другими нормативными правовыми актами, регулирующими сферу наружной рекламы.</w:t>
            </w:r>
            <w:r/>
          </w:p>
        </w:tc>
      </w:tr>
    </w:tbl>
    <w:p>
      <w:pPr>
        <w:pStyle w:val="300"/>
        <w:jc w:val="both"/>
        <w:tabs>
          <w:tab w:val="left" w:pos="5595" w:leader="none"/>
          <w:tab w:val="left" w:pos="5700" w:leader="none"/>
          <w:tab w:val="center" w:pos="7555" w:leader="none"/>
        </w:tabs>
        <w:rPr>
          <w:rFonts w:ascii="Times New Roman" w:hAnsi="Times New Roman" w:cs="Times New Roman"/>
          <w:sz w:val="24"/>
          <w:szCs w:val="26"/>
        </w:rPr>
        <w:outlineLvl w:val="2"/>
      </w:pPr>
      <w:r>
        <w:rPr>
          <w:rFonts w:ascii="Times New Roman" w:hAnsi="Times New Roman" w:cs="Times New Roman"/>
          <w:sz w:val="24"/>
          <w:szCs w:val="26"/>
        </w:rPr>
      </w:r>
      <w:r/>
    </w:p>
    <w:p>
      <w:pPr>
        <w:pStyle w:val="300"/>
        <w:jc w:val="both"/>
        <w:tabs>
          <w:tab w:val="left" w:pos="5595" w:leader="none"/>
          <w:tab w:val="left" w:pos="5700" w:leader="none"/>
          <w:tab w:val="center" w:pos="7555" w:leader="none"/>
        </w:tabs>
        <w:rPr>
          <w:rFonts w:ascii="Times New Roman" w:hAnsi="Times New Roman" w:cs="Times New Roman"/>
          <w:sz w:val="24"/>
          <w:szCs w:val="26"/>
        </w:rPr>
        <w:outlineLvl w:val="2"/>
      </w:pPr>
      <w:r>
        <w:rPr>
          <w:rFonts w:ascii="Times New Roman" w:hAnsi="Times New Roman" w:cs="Times New Roman"/>
          <w:sz w:val="24"/>
          <w:szCs w:val="26"/>
        </w:rPr>
        <w:t xml:space="preserve">2. Системные мероприятия</w:t>
      </w:r>
      <w:r/>
    </w:p>
    <w:tbl>
      <w:tblPr>
        <w:tblW w:w="150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40"/>
        <w:gridCol w:w="5731"/>
        <w:gridCol w:w="1698"/>
        <w:gridCol w:w="686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Срок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Информация об исполнении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1. Мероприятия, направленные на устранение избыточного государственного и муниципального регулирования, а также снижение административных барьеров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анализа государственных и муниципа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льных услуг, предоставление которых является необходимым условием ведения предпринимательской деятельности, и подготовка предложений по оптимизации процесса предоставления государственных и муниципальных услуг для субъектов предпринимательской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результате проведенного анализа оптимизированы следующие муниципальные услуги:</w:t>
            </w:r>
            <w:r/>
          </w:p>
          <w:p>
            <w:pPr>
              <w:pStyle w:val="299"/>
              <w:numPr>
                <w:ilvl w:val="0"/>
                <w:numId w:val="14"/>
              </w:numPr>
              <w:ind w:left="0" w:firstLine="0"/>
              <w:jc w:val="both"/>
              <w:tabs>
                <w:tab w:val="left" w:pos="425" w:leader="none"/>
                <w:tab w:val="left" w:pos="850" w:leader="none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сокращен срок предоставления муниципал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собственность;</w:t>
            </w:r>
            <w:r/>
          </w:p>
          <w:p>
            <w:pPr>
              <w:pStyle w:val="299"/>
              <w:numPr>
                <w:ilvl w:val="0"/>
                <w:numId w:val="14"/>
              </w:numPr>
              <w:ind w:left="0" w:firstLine="0"/>
              <w:jc w:val="both"/>
              <w:tabs>
                <w:tab w:val="left" w:pos="425" w:leader="none"/>
                <w:tab w:val="left" w:pos="850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сокращены </w:t>
            </w:r>
            <w:r>
              <w:rPr>
                <w:rFonts w:ascii="Times New Roman" w:hAnsi="Times New Roman" w:cs="Times New Roman"/>
                <w:sz w:val="24"/>
              </w:rPr>
              <w:t xml:space="preserve"> сроки: </w:t>
            </w:r>
            <w:r/>
          </w:p>
          <w:p>
            <w:pPr>
              <w:pStyle w:val="299"/>
              <w:jc w:val="both"/>
              <w:tabs>
                <w:tab w:val="left" w:pos="425" w:leader="none"/>
                <w:tab w:val="left" w:pos="850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утверждения схемы расположения земельного участка на кадастровом плане</w:t>
            </w:r>
            <w:r>
              <w:rPr>
                <w:rFonts w:ascii="Times New Roman" w:hAnsi="Times New Roman" w:cs="Times New Roman"/>
                <w:sz w:val="24"/>
              </w:rPr>
              <w:t xml:space="preserve"> территории. Срок составляет 10</w:t>
            </w:r>
            <w:r>
              <w:rPr>
                <w:rFonts w:ascii="Times New Roman" w:hAnsi="Times New Roman" w:cs="Times New Roman"/>
                <w:sz w:val="24"/>
              </w:rPr>
              <w:t xml:space="preserve"> рабочих дней; </w:t>
            </w:r>
            <w:r/>
          </w:p>
          <w:p>
            <w:pPr>
              <w:pStyle w:val="299"/>
              <w:jc w:val="both"/>
              <w:tabs>
                <w:tab w:val="left" w:pos="425" w:leader="none"/>
                <w:tab w:val="left" w:pos="850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присвоения и изменения адреса объе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кту адресации. Срок составляет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6 рабочих дней.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2. Мероприятия, направленные на создание условий для недискриминационного доступа хозяйствующих субъектов на товарные рынки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Формирование, актуализация и размещение на официальном сайте городского округа реестра торговых мест (ярмарок) для реализации продукции местных производителей и производителей других регионов, в том числе произведенных в личных подсобных хозяйствах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/>
            <w:hyperlink r:id="rId17" w:history="1">
              <w:r>
                <w:rPr>
                  <w:rStyle w:val="301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 xml:space="preserve">Постановлением администрации городского округа  от 24.02.2022         № 554-п «Об утверждении перечня ярмарочных площадок 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hyperlink r:id="rId18" w:history="1">
              <w:r>
                <w:rPr>
                  <w:rStyle w:val="301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 xml:space="preserve">территории </w:t>
              </w:r>
              <w:r>
                <w:rPr>
                  <w:rStyle w:val="301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 xml:space="preserve">Копейского</w:t>
              </w:r>
              <w:r>
                <w:rPr>
                  <w:rStyle w:val="301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 xml:space="preserve"> городского округа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 xml:space="preserve">» утвержден перечень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 xml:space="preserve"> для организации ярмарочной торговли</w:t>
            </w:r>
            <w:r/>
          </w:p>
          <w:p>
            <w:pPr>
              <w:pStyle w:val="299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https://akgo74.ru/administratsiya/predprinimatelstvo/yarmarochnaya-torgovlya/2022/нормативно-правовые%20акты%202022.php. </w:t>
            </w:r>
            <w:r/>
          </w:p>
          <w:p>
            <w:pPr>
              <w:pStyle w:val="299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3. Мероприятия, направленные на содействие развитию практики применения механизмов государственно-частного и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муниципально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-частного партнерства, в том числе практики заключения концессионных соглашений, в социальной сфере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Утверждение перечня объектов, в отношении которых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планируется заключение соглашений о государственно-частном партнерстве (далее именуется - ГЧП),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муниципально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-частном партнерстве (далее именуется - МЧП), в том числе концессионных соглашений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объектов коммунальной инфраструктуры,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находящихся в муниципальной собственности, в отношении которых запланировано 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2022 году заключение концессионных соглашений и подлежащих размещению на официальном сайте в информационно-телекоммуникационной сети «Интернет», утвержден распоряжением администрации от 28.01.2022  № 34-р и размещен на сайте администрации городского округа</w:t>
            </w:r>
            <w:r/>
          </w:p>
          <w:p>
            <w:pPr>
              <w:pStyle w:val="29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https://akgo74.ru/documents/postanovleniya/2022-god/34-r-ot-28-01-2022/index.php.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Утверждение перечня инфраструктурных проектов городского округа, реализация которых возможна в рамках ГЧП/МЧП, в том числе концессионных соглашений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6"/>
                <w:lang w:eastAsia="en-US"/>
              </w:rPr>
              <w:t xml:space="preserve">Инфраструктурные проекты, реализация которых возможна в рамках ГЧП/МЧП, отсутствуют.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Применение механизмов ГЧП/МЧП, заключение концессионных соглашений в одной или нескольких из следующих сфер: спорт; здравоохранение; дошкольное образование; теплоснабжение; водоснабжение; водоотведение; транспорт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Заключены концессионные соглашения в отношении систем коммунальной инфраструктуры (объектов теплоснабжения, централизованных систем горячего водоснабжения), находящихся в собственности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Копейский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городской округ»: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 № 2.1КС от 27.10.2017 с ООО «Производственное коммерческое предприятие Синергия»;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 от 19.09.2019 с АО «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Челябоблкоммунэнерго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»;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3) № 1-КС от 28.01.2021 с АО  «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Челябкоммунэнерго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».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концессионные соглашения не заключались.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4. Мероприятия, направленные на содействие развитию негосударственных (немуниципальных) социально ориентированных некоммерческих организаций и социального предпринимательства</w:t>
            </w:r>
            <w:r/>
          </w:p>
        </w:tc>
      </w:tr>
      <w:tr>
        <w:trPr>
          <w:trHeight w:val="8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мероприятий по созданию условий деятельности социально ориентированных некоммерческих организаций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jc w:val="both"/>
            </w:pPr>
            <w:r>
              <w:t xml:space="preserve">На территории городского округа действуют 4 социально ориентиров</w:t>
            </w:r>
            <w:r>
              <w:t xml:space="preserve">анные некоммерческие организации</w:t>
            </w:r>
            <w:r>
              <w:t xml:space="preserve">. Для создания условий деятельности проводятся следующие мероприятия:</w:t>
            </w:r>
            <w:r/>
          </w:p>
          <w:p>
            <w:pPr>
              <w:pStyle w:val="293"/>
              <w:numPr>
                <w:ilvl w:val="0"/>
                <w:numId w:val="12"/>
              </w:numPr>
              <w:ind w:left="0" w:firstLine="0"/>
              <w:jc w:val="both"/>
              <w:spacing w:after="0"/>
              <w:tabs>
                <w:tab w:val="left" w:pos="42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недвижимого имущества в безвозмездное пользование; </w:t>
            </w:r>
            <w:r/>
          </w:p>
          <w:p>
            <w:pPr>
              <w:pStyle w:val="293"/>
              <w:numPr>
                <w:ilvl w:val="0"/>
                <w:numId w:val="12"/>
              </w:numPr>
              <w:ind w:left="0" w:firstLine="0"/>
              <w:jc w:val="both"/>
              <w:spacing w:after="0"/>
              <w:tabs>
                <w:tab w:val="left" w:pos="42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</w:t>
            </w:r>
            <w:r>
              <w:rPr>
                <w:rFonts w:ascii="Times New Roman" w:hAnsi="Times New Roman"/>
                <w:sz w:val="24"/>
              </w:rPr>
              <w:t xml:space="preserve">ление субсидий на оплату труда,</w:t>
            </w:r>
            <w:r>
              <w:rPr>
                <w:rFonts w:ascii="Times New Roman" w:hAnsi="Times New Roman"/>
                <w:sz w:val="24"/>
              </w:rPr>
              <w:t xml:space="preserve"> коммунальных услуг, хозяйственных и транспортных расходов, проведение </w:t>
            </w:r>
            <w:r>
              <w:rPr>
                <w:rFonts w:ascii="Times New Roman" w:hAnsi="Times New Roman"/>
                <w:sz w:val="24"/>
              </w:rPr>
              <w:t xml:space="preserve">культурно-массовых мероприятий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/>
          </w:p>
          <w:p>
            <w:pPr>
              <w:jc w:val="both"/>
              <w:tabs>
                <w:tab w:val="left" w:pos="425" w:leader="none"/>
              </w:tabs>
            </w:pPr>
            <w:r>
              <w:t xml:space="preserve">В 2022 году общий объем субсидии составил 3470,6 тыс. рублей.</w:t>
            </w:r>
            <w:r/>
          </w:p>
          <w:p>
            <w:pPr>
              <w:jc w:val="both"/>
              <w:tabs>
                <w:tab w:val="left" w:pos="425" w:leader="none"/>
              </w:tabs>
            </w:pPr>
            <w:r/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5. Мероприятия, направленные на развитие механизмов поддержки технического и научно-техничес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кого творчества детей и молодежи, обучение их правовой грамотности и основам цифровой экономики, а также на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Создание новых мест дополнительного образования детей в рамках реализации регионального проекта «Успех каждого ребенка (Челябинская область)»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региональный проект «Успех каждого ребенка (Челябинская область)» на территории городского округа не реализовывался. 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2023 году на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базе МОУ СОШ № 4, 44, МУДО «Станция юных техников», МУДО «Дворец творчества детей и молодежи» планируется открыть 96 новых мест для реализации дополнительных общеобразовательных программ. На реализацию мероприятия в 2023 году выделено 2279,9 тыс. рублей.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Мероприятия, направ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Челябинской области, прошедшего обучение по повышению финансовой грамотности в рамках </w:t>
            </w:r>
            <w:hyperlink r:id="rId19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Стратегии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№ 2039-р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опроса жителей городского округа об оценке ими своего уровня финансовой грамотности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опрос проведен, результаты размещены на официальном сайте</w:t>
            </w:r>
            <w:r/>
          </w:p>
          <w:p>
            <w:pPr>
              <w:pStyle w:val="299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https://akgo74.ru/administratsiya/predprinimatelstvo/razvitie-konkurentsii/2022-god.php.</w:t>
            </w:r>
            <w:r/>
          </w:p>
          <w:p>
            <w:pPr>
              <w:pStyle w:val="299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на тер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ритории городского округа мероприятий по повышению качества и доступности платежных (банковских) услуг, информационной кампании, направленной на повышение уровня финансовой грамотности жителей и субъектов малого и среднего предпринимательства, в том числе: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обучающих занятий (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вебинары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, встречи);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распространение печатных материалов в общедоступных местах среди жителей населенных пунктов (по заявке муниципального образования);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распространение видеоматериалов на сайте администрации городского округа и страницах социальных сетей администрации, экранах, щитах и баннерах в общедоступных местах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опрос проведен, результаты размещены на официальном сайте</w:t>
            </w:r>
            <w:r/>
          </w:p>
          <w:p>
            <w:pPr>
              <w:pStyle w:val="299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https://akgo74.ru/administratsiya/predprinimatelstvo/razvitie-konkurentsii/2022-god.php.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7. Мероприятия, направленные на увеличение доли опрошенного населения, положительно оценивающего удовлетворенность (полностью или частично) работой хотя бы одного типа финансовых организаций, осуществляющих свою деятельность на территории городского округа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опроса жителей городского округа об их удовлетворенности работой финансовых организаций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опрос проведен, результаты размещены на официальном сайте</w:t>
            </w:r>
            <w:r/>
          </w:p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https://akgo74.ru/administratsiya/predprinimatelstvo/razvitie-konkurentsii/2022-god.php.</w:t>
            </w:r>
            <w:r/>
          </w:p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на территории городского округа мероприятий по повышению качества и доступности платежных (банковских) услуг, в том числе предоставление возможности: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снятия наличных денег на кассе торгово-сервисного предприятия при оплате товаров банковской картой (услуга «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кешаут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»);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безналичной оплаты услуг предприятий сферы жилищно-коммунального хозяйства на кассе торгово-сервисного предприятия;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оплаты товаров и услуг с использованием банковской карты (установка POS-терминалов в торгово-сервисных предприятиях), системы быстрых платежей (посредством QR-кода)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Предложений от финансовых организаций о проведении на территории округа мероприятий по повышению качества и доступности платежных (банковских) услуг не поступало.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8. Мероприятия, направленные на повышение доступности финансовых услуг для субъектов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Проведение опроса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деятельности о доступности финансовых услуг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 2022 году опрос проведен, результаты размещены на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официальном сайте https://akgo74.ru/administratsiya/predprinimatelstvo/razvitie-konkurentsii/2022-god.php.</w:t>
            </w:r>
            <w:r/>
          </w:p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34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9. Мероприятия, разработанные в соответствии с Национальным </w:t>
            </w:r>
            <w:hyperlink r:id="rId20" w:history="1">
              <w:r>
                <w:rPr>
                  <w:rStyle w:val="301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  <w:lang w:eastAsia="en-US"/>
                </w:rPr>
                <w:t xml:space="preserve">планом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(«дорожной картой») развития конкуренции в Российской Федерации на 2021 - 2025 годы, утвержденным распоряжением Правительства Российской Федерации от 02.09.2021 № 2424-р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31" w:type="dxa"/>
            <w:textDirection w:val="lrTb"/>
            <w:noWrap w:val="false"/>
          </w:tcPr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составление плана-графика полной инвентаризации муниципального имущества, в том числе закрепленного за предприятиями, учреждениями;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государственной власти Челябинской области;</w:t>
            </w:r>
            <w:r/>
          </w:p>
          <w:p>
            <w:pPr>
              <w:pStyle w:val="29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включение указанного имущества в программу приватизации, утверждение плана по перепрофилированию имущества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8" w:type="dxa"/>
            <w:textDirection w:val="lrTb"/>
            <w:noWrap w:val="false"/>
          </w:tcPr>
          <w:p>
            <w:pPr>
              <w:pStyle w:val="29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2022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65" w:type="dxa"/>
            <w:textDirection w:val="lrTb"/>
            <w:noWrap w:val="false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  <w:lang w:eastAsia="en-US"/>
              </w:rPr>
              <w:t xml:space="preserve">И</w:t>
            </w:r>
            <w:r>
              <w:rPr>
                <w:szCs w:val="26"/>
              </w:rPr>
              <w:t xml:space="preserve">нвентаризация муниципальных нежилых помещений проводится по мере необходимости. </w:t>
            </w:r>
            <w:r/>
          </w:p>
          <w:p>
            <w:pPr>
              <w:jc w:val="both"/>
            </w:pPr>
            <w:r>
              <w:rPr>
                <w:szCs w:val="26"/>
              </w:rPr>
              <w:t xml:space="preserve">В 2021 году сформирован фонд помещений для приватизации, утвержденный решением Собрания депутатов городского округа от 22.12.2021 № 331 «Об утверждении программы приватизации муниципальных предприятий и муниципального имущества на 2022 год».</w:t>
            </w:r>
            <w:r/>
          </w:p>
          <w:p>
            <w:pPr>
              <w:pStyle w:val="299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  <w:lang w:eastAsia="zh-CN"/>
              </w:rPr>
              <w:t xml:space="preserve">В 2022 году сформирован фонд помещений для приватизации, утвержденный решением Собрания депутатов городского округа Челябинской области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от 22.12.2022 № 685 «Об </w:t>
            </w:r>
            <w:r>
              <w:rPr>
                <w:rFonts w:ascii="Times New Roman" w:hAnsi="Times New Roman"/>
                <w:sz w:val="24"/>
                <w:szCs w:val="26"/>
                <w:lang w:eastAsia="zh-CN"/>
              </w:rPr>
              <w:t xml:space="preserve">утверждении программы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приватизации муниципальных предприятий и муниципального имущества на 2023-2025 годы».</w:t>
            </w:r>
            <w:r/>
          </w:p>
        </w:tc>
      </w:tr>
    </w:tbl>
    <w:p>
      <w:pPr>
        <w:rPr>
          <w:szCs w:val="26"/>
        </w:rPr>
      </w:pPr>
      <w:r>
        <w:rPr>
          <w:szCs w:val="26"/>
        </w:rPr>
      </w:r>
      <w:r/>
    </w:p>
    <w:p>
      <w:pPr>
        <w:rPr>
          <w:szCs w:val="26"/>
        </w:rPr>
      </w:pPr>
      <w:r>
        <w:rPr>
          <w:szCs w:val="26"/>
        </w:rPr>
      </w:r>
      <w:r/>
    </w:p>
    <w:p>
      <w:pPr>
        <w:rPr>
          <w:szCs w:val="26"/>
        </w:rPr>
      </w:pPr>
      <w:r>
        <w:rPr>
          <w:szCs w:val="26"/>
        </w:rPr>
      </w:r>
      <w:r/>
    </w:p>
    <w:p>
      <w:pPr>
        <w:rPr>
          <w:szCs w:val="26"/>
        </w:rPr>
      </w:pPr>
      <w:r>
        <w:rPr>
          <w:szCs w:val="26"/>
        </w:rPr>
      </w:r>
      <w:r/>
    </w:p>
    <w:p>
      <w:pPr>
        <w:rPr>
          <w:szCs w:val="26"/>
        </w:rPr>
      </w:pPr>
      <w:r>
        <w:rPr>
          <w:szCs w:val="26"/>
        </w:rPr>
        <w:t xml:space="preserve">Начальник управления экономического развития</w:t>
        <w:tab/>
        <w:tab/>
        <w:tab/>
        <w:tab/>
        <w:tab/>
        <w:tab/>
        <w:tab/>
        <w:tab/>
        <w:tab/>
        <w:tab/>
        <w:tab/>
        <w:t xml:space="preserve">           О.Н. Ланге</w:t>
      </w:r>
      <w:r/>
    </w:p>
    <w:sectPr>
      <w:headerReference w:type="default" r:id="rId8"/>
      <w:foot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Tahoma">
    <w:panose1 w:val="020B0604030504040204"/>
  </w:font>
  <w:font w:name="Arial">
    <w:panose1 w:val="020B0604020202020204"/>
  </w:font>
  <w:font w:name="Liberation Serif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53152957"/>
      <w:docPartObj>
        <w:docPartGallery w:val="Page Numbers (Top of Page)"/>
        <w:docPartUnique w:val="true"/>
      </w:docPartObj>
    </w:sdtPr>
    <w:sdtContent>
      <w:p>
        <w:pPr>
          <w:pStyle w:val="295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PAGE   \* MERGEFORMAT</w:instrText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18</w:t>
        </w:r>
        <w:r>
          <w:rPr>
            <w:sz w:val="26"/>
            <w:szCs w:val="26"/>
          </w:rPr>
          <w:fldChar w:fldCharType="end"/>
        </w:r>
        <w:r/>
      </w:p>
    </w:sdtContent>
  </w:sdt>
  <w:p>
    <w:pPr>
      <w:pStyle w:val="2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4"/>
      <w:numFmt w:val="upperRoman"/>
      <w:suff w:val="tab"/>
      <w:lvlText w:val="%1."/>
      <w:lvlJc w:val="left"/>
      <w:pPr>
        <w:ind w:left="1724" w:hanging="7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084" w:hanging="360"/>
      </w:pPr>
    </w:lvl>
    <w:lvl w:ilvl="2">
      <w:start w:val="1"/>
      <w:numFmt w:val="lowerRoman"/>
      <w:suff w:val="tab"/>
      <w:lvlText w:val="%3."/>
      <w:lvlJc w:val="right"/>
      <w:pPr>
        <w:ind w:left="2804" w:hanging="180"/>
      </w:pPr>
    </w:lvl>
    <w:lvl w:ilvl="3">
      <w:start w:val="1"/>
      <w:numFmt w:val="decimal"/>
      <w:suff w:val="tab"/>
      <w:lvlText w:val="%4."/>
      <w:lvlJc w:val="left"/>
      <w:pPr>
        <w:ind w:left="3524" w:hanging="360"/>
      </w:pPr>
    </w:lvl>
    <w:lvl w:ilvl="4">
      <w:start w:val="1"/>
      <w:numFmt w:val="lowerLetter"/>
      <w:suff w:val="tab"/>
      <w:lvlText w:val="%5."/>
      <w:lvlJc w:val="left"/>
      <w:pPr>
        <w:ind w:left="4244" w:hanging="360"/>
      </w:pPr>
    </w:lvl>
    <w:lvl w:ilvl="5">
      <w:start w:val="1"/>
      <w:numFmt w:val="lowerRoman"/>
      <w:suff w:val="tab"/>
      <w:lvlText w:val="%6."/>
      <w:lvlJc w:val="right"/>
      <w:pPr>
        <w:ind w:left="4964" w:hanging="180"/>
      </w:pPr>
    </w:lvl>
    <w:lvl w:ilvl="6">
      <w:start w:val="1"/>
      <w:numFmt w:val="decimal"/>
      <w:suff w:val="tab"/>
      <w:lvlText w:val="%7."/>
      <w:lvlJc w:val="left"/>
      <w:pPr>
        <w:ind w:left="5684" w:hanging="360"/>
      </w:pPr>
    </w:lvl>
    <w:lvl w:ilvl="7">
      <w:start w:val="1"/>
      <w:numFmt w:val="lowerLetter"/>
      <w:suff w:val="tab"/>
      <w:lvlText w:val="%8."/>
      <w:lvlJc w:val="left"/>
      <w:pPr>
        <w:ind w:left="6404" w:hanging="360"/>
      </w:pPr>
    </w:lvl>
    <w:lvl w:ilvl="8">
      <w:start w:val="1"/>
      <w:numFmt w:val="lowerRoman"/>
      <w:suff w:val="tab"/>
      <w:lvlText w:val="%9."/>
      <w:lvlJc w:val="right"/>
      <w:pPr>
        <w:ind w:left="7124" w:hanging="180"/>
      </w:p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2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1215" w:hanging="49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1" w:default="1">
    <w:name w:val="Normal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paragraph" w:styleId="212">
    <w:name w:val="Heading 1"/>
    <w:basedOn w:val="211"/>
    <w:next w:val="211"/>
    <w:link w:val="2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13">
    <w:name w:val="Heading 2"/>
    <w:basedOn w:val="211"/>
    <w:next w:val="211"/>
    <w:link w:val="2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14">
    <w:name w:val="Heading 3"/>
    <w:basedOn w:val="211"/>
    <w:next w:val="211"/>
    <w:link w:val="2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15">
    <w:name w:val="Heading 4"/>
    <w:basedOn w:val="211"/>
    <w:next w:val="211"/>
    <w:link w:val="2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16">
    <w:name w:val="Heading 5"/>
    <w:basedOn w:val="211"/>
    <w:next w:val="211"/>
    <w:link w:val="2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217">
    <w:name w:val="Heading 6"/>
    <w:basedOn w:val="211"/>
    <w:next w:val="211"/>
    <w:link w:val="2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18">
    <w:name w:val="Heading 7"/>
    <w:basedOn w:val="211"/>
    <w:next w:val="211"/>
    <w:link w:val="2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19">
    <w:name w:val="Heading 8"/>
    <w:basedOn w:val="211"/>
    <w:next w:val="211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20">
    <w:name w:val="Heading 9"/>
    <w:basedOn w:val="211"/>
    <w:next w:val="211"/>
    <w:link w:val="2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21" w:default="1">
    <w:name w:val="Default Paragraph Font"/>
    <w:uiPriority w:val="1"/>
    <w:semiHidden/>
    <w:unhideWhenUsed/>
  </w:style>
  <w:style w:type="table" w:styleId="2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3" w:default="1">
    <w:name w:val="No List"/>
    <w:uiPriority w:val="99"/>
    <w:semiHidden/>
    <w:unhideWhenUsed/>
  </w:style>
  <w:style w:type="character" w:styleId="224" w:customStyle="1">
    <w:name w:val="Heading 1 Char"/>
    <w:basedOn w:val="221"/>
    <w:uiPriority w:val="9"/>
    <w:rPr>
      <w:rFonts w:ascii="Arial" w:hAnsi="Arial" w:cs="Arial" w:eastAsia="Arial"/>
      <w:sz w:val="40"/>
      <w:szCs w:val="40"/>
    </w:rPr>
  </w:style>
  <w:style w:type="character" w:styleId="225" w:customStyle="1">
    <w:name w:val="Heading 2 Char"/>
    <w:basedOn w:val="221"/>
    <w:uiPriority w:val="9"/>
    <w:rPr>
      <w:rFonts w:ascii="Arial" w:hAnsi="Arial" w:cs="Arial" w:eastAsia="Arial"/>
      <w:sz w:val="34"/>
    </w:rPr>
  </w:style>
  <w:style w:type="character" w:styleId="226" w:customStyle="1">
    <w:name w:val="Heading 3 Char"/>
    <w:basedOn w:val="221"/>
    <w:uiPriority w:val="9"/>
    <w:rPr>
      <w:rFonts w:ascii="Arial" w:hAnsi="Arial" w:cs="Arial" w:eastAsia="Arial"/>
      <w:sz w:val="30"/>
      <w:szCs w:val="30"/>
    </w:rPr>
  </w:style>
  <w:style w:type="character" w:styleId="227" w:customStyle="1">
    <w:name w:val="Heading 4 Char"/>
    <w:basedOn w:val="221"/>
    <w:uiPriority w:val="9"/>
    <w:rPr>
      <w:rFonts w:ascii="Arial" w:hAnsi="Arial" w:cs="Arial" w:eastAsia="Arial"/>
      <w:b/>
      <w:bCs/>
      <w:sz w:val="26"/>
      <w:szCs w:val="26"/>
    </w:rPr>
  </w:style>
  <w:style w:type="character" w:styleId="228" w:customStyle="1">
    <w:name w:val="Heading 5 Char"/>
    <w:basedOn w:val="221"/>
    <w:uiPriority w:val="9"/>
    <w:rPr>
      <w:rFonts w:ascii="Arial" w:hAnsi="Arial" w:cs="Arial" w:eastAsia="Arial"/>
      <w:b/>
      <w:bCs/>
      <w:sz w:val="24"/>
      <w:szCs w:val="24"/>
    </w:rPr>
  </w:style>
  <w:style w:type="character" w:styleId="229" w:customStyle="1">
    <w:name w:val="Heading 6 Char"/>
    <w:basedOn w:val="221"/>
    <w:uiPriority w:val="9"/>
    <w:rPr>
      <w:rFonts w:ascii="Arial" w:hAnsi="Arial" w:cs="Arial" w:eastAsia="Arial"/>
      <w:b/>
      <w:bCs/>
      <w:sz w:val="22"/>
      <w:szCs w:val="22"/>
    </w:rPr>
  </w:style>
  <w:style w:type="character" w:styleId="230" w:customStyle="1">
    <w:name w:val="Heading 7 Char"/>
    <w:basedOn w:val="2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1" w:customStyle="1">
    <w:name w:val="Heading 8 Char"/>
    <w:basedOn w:val="221"/>
    <w:uiPriority w:val="9"/>
    <w:rPr>
      <w:rFonts w:ascii="Arial" w:hAnsi="Arial" w:cs="Arial" w:eastAsia="Arial"/>
      <w:i/>
      <w:iCs/>
      <w:sz w:val="22"/>
      <w:szCs w:val="22"/>
    </w:rPr>
  </w:style>
  <w:style w:type="character" w:styleId="232" w:customStyle="1">
    <w:name w:val="Heading 9 Char"/>
    <w:basedOn w:val="221"/>
    <w:uiPriority w:val="9"/>
    <w:rPr>
      <w:rFonts w:ascii="Arial" w:hAnsi="Arial" w:cs="Arial" w:eastAsia="Arial"/>
      <w:i/>
      <w:iCs/>
      <w:sz w:val="21"/>
      <w:szCs w:val="21"/>
    </w:rPr>
  </w:style>
  <w:style w:type="character" w:styleId="233" w:customStyle="1">
    <w:name w:val="Title Char"/>
    <w:basedOn w:val="221"/>
    <w:uiPriority w:val="10"/>
    <w:rPr>
      <w:sz w:val="48"/>
      <w:szCs w:val="48"/>
    </w:rPr>
  </w:style>
  <w:style w:type="character" w:styleId="234" w:customStyle="1">
    <w:name w:val="Subtitle Char"/>
    <w:basedOn w:val="221"/>
    <w:uiPriority w:val="11"/>
    <w:rPr>
      <w:sz w:val="24"/>
      <w:szCs w:val="24"/>
    </w:rPr>
  </w:style>
  <w:style w:type="character" w:styleId="235" w:customStyle="1">
    <w:name w:val="Quote Char"/>
    <w:uiPriority w:val="29"/>
    <w:rPr>
      <w:i/>
    </w:rPr>
  </w:style>
  <w:style w:type="character" w:styleId="236" w:customStyle="1">
    <w:name w:val="Intense Quote Char"/>
    <w:uiPriority w:val="30"/>
    <w:rPr>
      <w:i/>
    </w:rPr>
  </w:style>
  <w:style w:type="character" w:styleId="237" w:customStyle="1">
    <w:name w:val="Footnote Text Char"/>
    <w:uiPriority w:val="99"/>
    <w:rPr>
      <w:sz w:val="18"/>
    </w:rPr>
  </w:style>
  <w:style w:type="character" w:styleId="238" w:customStyle="1">
    <w:name w:val="Заголовок 1 Знак"/>
    <w:basedOn w:val="221"/>
    <w:link w:val="212"/>
    <w:uiPriority w:val="9"/>
    <w:rPr>
      <w:rFonts w:ascii="Arial" w:hAnsi="Arial" w:cs="Arial" w:eastAsia="Arial"/>
      <w:sz w:val="40"/>
      <w:szCs w:val="40"/>
    </w:rPr>
  </w:style>
  <w:style w:type="character" w:styleId="239" w:customStyle="1">
    <w:name w:val="Заголовок 2 Знак"/>
    <w:basedOn w:val="221"/>
    <w:link w:val="213"/>
    <w:uiPriority w:val="9"/>
    <w:rPr>
      <w:rFonts w:ascii="Arial" w:hAnsi="Arial" w:cs="Arial" w:eastAsia="Arial"/>
      <w:sz w:val="34"/>
    </w:rPr>
  </w:style>
  <w:style w:type="character" w:styleId="240" w:customStyle="1">
    <w:name w:val="Заголовок 3 Знак"/>
    <w:basedOn w:val="221"/>
    <w:link w:val="214"/>
    <w:uiPriority w:val="9"/>
    <w:rPr>
      <w:rFonts w:ascii="Arial" w:hAnsi="Arial" w:cs="Arial" w:eastAsia="Arial"/>
      <w:sz w:val="30"/>
      <w:szCs w:val="30"/>
    </w:rPr>
  </w:style>
  <w:style w:type="character" w:styleId="241" w:customStyle="1">
    <w:name w:val="Заголовок 4 Знак"/>
    <w:basedOn w:val="221"/>
    <w:link w:val="215"/>
    <w:uiPriority w:val="9"/>
    <w:rPr>
      <w:rFonts w:ascii="Arial" w:hAnsi="Arial" w:cs="Arial" w:eastAsia="Arial"/>
      <w:b/>
      <w:bCs/>
      <w:sz w:val="26"/>
      <w:szCs w:val="26"/>
    </w:rPr>
  </w:style>
  <w:style w:type="character" w:styleId="242" w:customStyle="1">
    <w:name w:val="Заголовок 5 Знак"/>
    <w:basedOn w:val="221"/>
    <w:link w:val="216"/>
    <w:uiPriority w:val="9"/>
    <w:rPr>
      <w:rFonts w:ascii="Arial" w:hAnsi="Arial" w:cs="Arial" w:eastAsia="Arial"/>
      <w:b/>
      <w:bCs/>
      <w:sz w:val="24"/>
      <w:szCs w:val="24"/>
    </w:rPr>
  </w:style>
  <w:style w:type="character" w:styleId="243" w:customStyle="1">
    <w:name w:val="Заголовок 6 Знак"/>
    <w:basedOn w:val="221"/>
    <w:link w:val="217"/>
    <w:uiPriority w:val="9"/>
    <w:rPr>
      <w:rFonts w:ascii="Arial" w:hAnsi="Arial" w:cs="Arial" w:eastAsia="Arial"/>
      <w:b/>
      <w:bCs/>
      <w:sz w:val="22"/>
      <w:szCs w:val="22"/>
    </w:rPr>
  </w:style>
  <w:style w:type="character" w:styleId="244" w:customStyle="1">
    <w:name w:val="Заголовок 7 Знак"/>
    <w:basedOn w:val="221"/>
    <w:link w:val="2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45" w:customStyle="1">
    <w:name w:val="Заголовок 8 Знак"/>
    <w:basedOn w:val="221"/>
    <w:link w:val="219"/>
    <w:uiPriority w:val="9"/>
    <w:rPr>
      <w:rFonts w:ascii="Arial" w:hAnsi="Arial" w:cs="Arial" w:eastAsia="Arial"/>
      <w:i/>
      <w:iCs/>
      <w:sz w:val="22"/>
      <w:szCs w:val="22"/>
    </w:rPr>
  </w:style>
  <w:style w:type="character" w:styleId="246" w:customStyle="1">
    <w:name w:val="Заголовок 9 Знак"/>
    <w:basedOn w:val="221"/>
    <w:link w:val="220"/>
    <w:uiPriority w:val="9"/>
    <w:rPr>
      <w:rFonts w:ascii="Arial" w:hAnsi="Arial" w:cs="Arial" w:eastAsia="Arial"/>
      <w:i/>
      <w:iCs/>
      <w:sz w:val="21"/>
      <w:szCs w:val="21"/>
    </w:rPr>
  </w:style>
  <w:style w:type="paragraph" w:styleId="247">
    <w:name w:val="No Spacing"/>
    <w:qFormat/>
    <w:uiPriority w:val="1"/>
    <w:pPr>
      <w:spacing w:lineRule="auto" w:line="240" w:after="0"/>
    </w:pPr>
  </w:style>
  <w:style w:type="paragraph" w:styleId="248">
    <w:name w:val="Title"/>
    <w:basedOn w:val="211"/>
    <w:next w:val="211"/>
    <w:link w:val="2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49" w:customStyle="1">
    <w:name w:val="Название Знак"/>
    <w:basedOn w:val="221"/>
    <w:link w:val="248"/>
    <w:uiPriority w:val="10"/>
    <w:rPr>
      <w:sz w:val="48"/>
      <w:szCs w:val="48"/>
    </w:rPr>
  </w:style>
  <w:style w:type="paragraph" w:styleId="250">
    <w:name w:val="Subtitle"/>
    <w:basedOn w:val="211"/>
    <w:next w:val="211"/>
    <w:link w:val="251"/>
    <w:qFormat/>
    <w:uiPriority w:val="11"/>
    <w:pPr>
      <w:spacing w:after="200" w:before="200"/>
    </w:pPr>
  </w:style>
  <w:style w:type="character" w:styleId="251" w:customStyle="1">
    <w:name w:val="Подзаголовок Знак"/>
    <w:basedOn w:val="221"/>
    <w:link w:val="250"/>
    <w:uiPriority w:val="11"/>
    <w:rPr>
      <w:sz w:val="24"/>
      <w:szCs w:val="24"/>
    </w:rPr>
  </w:style>
  <w:style w:type="paragraph" w:styleId="252">
    <w:name w:val="Quote"/>
    <w:basedOn w:val="211"/>
    <w:next w:val="211"/>
    <w:link w:val="253"/>
    <w:qFormat/>
    <w:uiPriority w:val="29"/>
    <w:rPr>
      <w:i/>
    </w:rPr>
    <w:pPr>
      <w:ind w:left="720" w:right="720"/>
    </w:pPr>
  </w:style>
  <w:style w:type="character" w:styleId="253" w:customStyle="1">
    <w:name w:val="Цитата 2 Знак"/>
    <w:link w:val="252"/>
    <w:uiPriority w:val="29"/>
    <w:rPr>
      <w:i/>
    </w:rPr>
  </w:style>
  <w:style w:type="paragraph" w:styleId="254">
    <w:name w:val="Intense Quote"/>
    <w:basedOn w:val="211"/>
    <w:next w:val="211"/>
    <w:link w:val="2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5" w:customStyle="1">
    <w:name w:val="Выделенная цитата Знак"/>
    <w:link w:val="254"/>
    <w:uiPriority w:val="30"/>
    <w:rPr>
      <w:i/>
    </w:rPr>
  </w:style>
  <w:style w:type="character" w:styleId="256" w:customStyle="1">
    <w:name w:val="Header Char"/>
    <w:basedOn w:val="221"/>
    <w:uiPriority w:val="99"/>
  </w:style>
  <w:style w:type="character" w:styleId="257" w:customStyle="1">
    <w:name w:val="Footer Char"/>
    <w:basedOn w:val="221"/>
    <w:uiPriority w:val="99"/>
  </w:style>
  <w:style w:type="table" w:styleId="258">
    <w:name w:val="Table Grid"/>
    <w:basedOn w:val="2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59" w:customStyle="1">
    <w:name w:val="Lined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0" w:customStyle="1">
    <w:name w:val="Lined - Accent 1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1" w:customStyle="1">
    <w:name w:val="Lined - Accent 2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2" w:customStyle="1">
    <w:name w:val="Lined - Accent 3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63" w:customStyle="1">
    <w:name w:val="Lined - Accent 4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4" w:customStyle="1">
    <w:name w:val="Lined - Accent 5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5" w:customStyle="1">
    <w:name w:val="Lined - Accent 6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66" w:customStyle="1">
    <w:name w:val="Bordered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67" w:customStyle="1">
    <w:name w:val="Bordered - Accent 1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8" w:customStyle="1">
    <w:name w:val="Bordered - Accent 2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9" w:customStyle="1">
    <w:name w:val="Bordered - Accent 3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70" w:customStyle="1">
    <w:name w:val="Bordered - Accent 4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71" w:customStyle="1">
    <w:name w:val="Bordered - Accent 5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72" w:customStyle="1">
    <w:name w:val="Bordered - Accent 6"/>
    <w:basedOn w:val="2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73" w:customStyle="1">
    <w:name w:val="Bordered &amp; Lined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74" w:customStyle="1">
    <w:name w:val="Bordered &amp; Lined - Accent 1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5" w:customStyle="1">
    <w:name w:val="Bordered &amp; Lined - Accent 2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6" w:customStyle="1">
    <w:name w:val="Bordered &amp; Lined - Accent 3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77" w:customStyle="1">
    <w:name w:val="Bordered &amp; Lined - Accent 4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8" w:customStyle="1">
    <w:name w:val="Bordered &amp; Lined - Accent 5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9" w:customStyle="1">
    <w:name w:val="Bordered &amp; Lined - Accent 6"/>
    <w:basedOn w:val="2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80">
    <w:name w:val="footnote text"/>
    <w:basedOn w:val="211"/>
    <w:link w:val="281"/>
    <w:uiPriority w:val="99"/>
    <w:semiHidden/>
    <w:unhideWhenUsed/>
    <w:rPr>
      <w:sz w:val="18"/>
    </w:rPr>
    <w:pPr>
      <w:spacing w:after="40"/>
    </w:pPr>
  </w:style>
  <w:style w:type="character" w:styleId="281" w:customStyle="1">
    <w:name w:val="Текст сноски Знак"/>
    <w:link w:val="280"/>
    <w:uiPriority w:val="99"/>
    <w:rPr>
      <w:sz w:val="18"/>
    </w:rPr>
  </w:style>
  <w:style w:type="character" w:styleId="282">
    <w:name w:val="footnote reference"/>
    <w:basedOn w:val="221"/>
    <w:uiPriority w:val="99"/>
    <w:unhideWhenUsed/>
    <w:rPr>
      <w:vertAlign w:val="superscript"/>
    </w:rPr>
  </w:style>
  <w:style w:type="paragraph" w:styleId="283">
    <w:name w:val="toc 1"/>
    <w:basedOn w:val="211"/>
    <w:next w:val="211"/>
    <w:uiPriority w:val="39"/>
    <w:unhideWhenUsed/>
    <w:pPr>
      <w:spacing w:after="57"/>
    </w:pPr>
  </w:style>
  <w:style w:type="paragraph" w:styleId="284">
    <w:name w:val="toc 2"/>
    <w:basedOn w:val="211"/>
    <w:next w:val="211"/>
    <w:uiPriority w:val="39"/>
    <w:unhideWhenUsed/>
    <w:pPr>
      <w:ind w:left="283"/>
      <w:spacing w:after="57"/>
    </w:pPr>
  </w:style>
  <w:style w:type="paragraph" w:styleId="285">
    <w:name w:val="toc 3"/>
    <w:basedOn w:val="211"/>
    <w:next w:val="211"/>
    <w:uiPriority w:val="39"/>
    <w:unhideWhenUsed/>
    <w:pPr>
      <w:ind w:left="567"/>
      <w:spacing w:after="57"/>
    </w:pPr>
  </w:style>
  <w:style w:type="paragraph" w:styleId="286">
    <w:name w:val="toc 4"/>
    <w:basedOn w:val="211"/>
    <w:next w:val="211"/>
    <w:uiPriority w:val="39"/>
    <w:unhideWhenUsed/>
    <w:pPr>
      <w:ind w:left="850"/>
      <w:spacing w:after="57"/>
    </w:pPr>
  </w:style>
  <w:style w:type="paragraph" w:styleId="287">
    <w:name w:val="toc 5"/>
    <w:basedOn w:val="211"/>
    <w:next w:val="211"/>
    <w:uiPriority w:val="39"/>
    <w:unhideWhenUsed/>
    <w:pPr>
      <w:ind w:left="1134"/>
      <w:spacing w:after="57"/>
    </w:pPr>
  </w:style>
  <w:style w:type="paragraph" w:styleId="288">
    <w:name w:val="toc 6"/>
    <w:basedOn w:val="211"/>
    <w:next w:val="211"/>
    <w:uiPriority w:val="39"/>
    <w:unhideWhenUsed/>
    <w:pPr>
      <w:ind w:left="1417"/>
      <w:spacing w:after="57"/>
    </w:pPr>
  </w:style>
  <w:style w:type="paragraph" w:styleId="289">
    <w:name w:val="toc 7"/>
    <w:basedOn w:val="211"/>
    <w:next w:val="211"/>
    <w:uiPriority w:val="39"/>
    <w:unhideWhenUsed/>
    <w:pPr>
      <w:ind w:left="1701"/>
      <w:spacing w:after="57"/>
    </w:pPr>
  </w:style>
  <w:style w:type="paragraph" w:styleId="290">
    <w:name w:val="toc 8"/>
    <w:basedOn w:val="211"/>
    <w:next w:val="211"/>
    <w:uiPriority w:val="39"/>
    <w:unhideWhenUsed/>
    <w:pPr>
      <w:ind w:left="1984"/>
      <w:spacing w:after="57"/>
    </w:pPr>
  </w:style>
  <w:style w:type="paragraph" w:styleId="291">
    <w:name w:val="toc 9"/>
    <w:basedOn w:val="211"/>
    <w:next w:val="211"/>
    <w:uiPriority w:val="39"/>
    <w:unhideWhenUsed/>
    <w:pPr>
      <w:ind w:left="2268"/>
      <w:spacing w:after="57"/>
    </w:pPr>
  </w:style>
  <w:style w:type="paragraph" w:styleId="292">
    <w:name w:val="TOC Heading"/>
    <w:uiPriority w:val="39"/>
    <w:unhideWhenUsed/>
  </w:style>
  <w:style w:type="paragraph" w:styleId="293">
    <w:name w:val="List Paragraph"/>
    <w:rPr>
      <w:rFonts w:ascii="Arial" w:hAnsi="Arial" w:cs="Times New Roman" w:eastAsia="Times New Roman"/>
      <w:sz w:val="16"/>
      <w:szCs w:val="16"/>
      <w:lang w:eastAsia="ru-RU"/>
    </w:rPr>
    <w:pPr>
      <w:contextualSpacing w:val="true"/>
      <w:ind w:left="720"/>
      <w:spacing w:lineRule="auto" w:line="240" w:after="180"/>
    </w:pPr>
  </w:style>
  <w:style w:type="character" w:styleId="294" w:customStyle="1">
    <w:name w:val="Цветовое выделение"/>
    <w:uiPriority w:val="99"/>
    <w:rPr>
      <w:b/>
      <w:bCs w:val="false"/>
      <w:color w:val="26282F"/>
    </w:rPr>
  </w:style>
  <w:style w:type="paragraph" w:styleId="295">
    <w:name w:val="Header"/>
    <w:basedOn w:val="211"/>
    <w:link w:val="2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96" w:customStyle="1">
    <w:name w:val="Верхний колонтитул Знак"/>
    <w:basedOn w:val="221"/>
    <w:link w:val="295"/>
    <w:uiPriority w:val="99"/>
    <w:rPr>
      <w:rFonts w:ascii="Calibri" w:hAnsi="Calibri" w:cs="Times New Roman" w:eastAsia="Calibri"/>
    </w:rPr>
  </w:style>
  <w:style w:type="paragraph" w:styleId="297">
    <w:name w:val="Footer"/>
    <w:basedOn w:val="211"/>
    <w:link w:val="2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98" w:customStyle="1">
    <w:name w:val="Нижний колонтитул Знак"/>
    <w:basedOn w:val="221"/>
    <w:link w:val="297"/>
    <w:uiPriority w:val="99"/>
    <w:rPr>
      <w:rFonts w:ascii="Calibri" w:hAnsi="Calibri" w:cs="Times New Roman" w:eastAsia="Calibri"/>
    </w:rPr>
  </w:style>
  <w:style w:type="paragraph" w:styleId="299" w:customStyle="1">
    <w:name w:val="ConsPlusNormal"/>
    <w:rPr>
      <w:rFonts w:eastAsia="Times New Roman"/>
      <w:szCs w:val="20"/>
      <w:lang w:eastAsia="ru-RU"/>
    </w:rPr>
    <w:pPr>
      <w:spacing w:lineRule="auto" w:line="240" w:after="0"/>
      <w:widowControl w:val="off"/>
    </w:pPr>
  </w:style>
  <w:style w:type="paragraph" w:styleId="300" w:customStyle="1">
    <w:name w:val="ConsPlusTitle"/>
    <w:rPr>
      <w:rFonts w:eastAsia="Times New Roman"/>
      <w:b/>
      <w:szCs w:val="20"/>
      <w:lang w:eastAsia="ru-RU"/>
    </w:rPr>
    <w:pPr>
      <w:spacing w:lineRule="auto" w:line="240" w:after="0"/>
      <w:widowControl w:val="off"/>
    </w:pPr>
  </w:style>
  <w:style w:type="character" w:styleId="301">
    <w:name w:val="Hyperlink"/>
    <w:rPr>
      <w:color w:val="0000FF"/>
      <w:u w:val="single"/>
    </w:rPr>
  </w:style>
  <w:style w:type="paragraph" w:styleId="302">
    <w:name w:val="Balloon Text"/>
    <w:basedOn w:val="211"/>
    <w:link w:val="303"/>
    <w:uiPriority w:val="99"/>
    <w:semiHidden/>
    <w:unhideWhenUsed/>
    <w:rPr>
      <w:rFonts w:ascii="Tahoma" w:hAnsi="Tahoma" w:cs="Tahoma"/>
      <w:sz w:val="16"/>
      <w:szCs w:val="16"/>
    </w:rPr>
  </w:style>
  <w:style w:type="character" w:styleId="303" w:customStyle="1">
    <w:name w:val="Текст выноски Знак"/>
    <w:basedOn w:val="221"/>
    <w:link w:val="302"/>
    <w:uiPriority w:val="99"/>
    <w:semiHidden/>
    <w:rPr>
      <w:rFonts w:ascii="Tahoma" w:hAnsi="Tahoma" w:cs="Tahoma" w:eastAsia="Calibri"/>
      <w:sz w:val="16"/>
      <w:szCs w:val="16"/>
    </w:rPr>
  </w:style>
  <w:style w:type="paragraph" w:styleId="304" w:customStyle="1">
    <w:name w:val="Standard"/>
    <w:rPr>
      <w:rFonts w:ascii="Liberation Serif" w:hAnsi="Liberation Serif" w:cs="Times New Roman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305">
    <w:name w:val="Body Text Indent 2"/>
    <w:rPr>
      <w:rFonts w:ascii="Arial" w:hAnsi="Arial" w:cs="Arial" w:eastAsia="Arial"/>
      <w:sz w:val="28"/>
      <w:szCs w:val="28"/>
      <w:lang w:bidi="ru-RU"/>
    </w:rPr>
    <w:pPr>
      <w:ind w:firstLine="720"/>
      <w:jc w:val="both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E173688957AB4A79629BB9D2227485BFD5ABCCEA0A4761AB06D30E218A84A343B5D6F3255D961BD6874497940281C0E91B3054C672WAF8G" TargetMode="External"/><Relationship Id="rId10" Type="http://schemas.openxmlformats.org/officeDocument/2006/relationships/hyperlink" Target="consultantplus://offline/ref=E173688957AB4A79629BB9D2227485BFD5A1C4E60D4161AB06D30E218A84A343B5D6F3205D951585DF0B96C844D6D3EB1D3056C26EA8C304W4F1G" TargetMode="External"/><Relationship Id="rId11" Type="http://schemas.openxmlformats.org/officeDocument/2006/relationships/hyperlink" Target="consultantplus://offline/ref=E173688957AB4A79629BB9D2227485BFD5ABCCEA0A4761AB06D30E218A84A343B5D6F32956C141C6830DC09B1E83DAF71D2E54WCF4G" TargetMode="External"/><Relationship Id="rId12" Type="http://schemas.openxmlformats.org/officeDocument/2006/relationships/hyperlink" Target="consultantplus://offline/ref=E173688957AB4A79629BB9D2227485BFD5ABCCEA0A4761AB06D30E218A84A343B5D6F3275D931BD6874497940281C0E91B3054C672WAF8G" TargetMode="External"/><Relationship Id="rId13" Type="http://schemas.openxmlformats.org/officeDocument/2006/relationships/hyperlink" Target="consultantplus://offline/ref=E173688957AB4A79629BB9D2227485BFD5ABCCEA0A4761AB06D30E218A84A343B5D6F3275C931BD6874497940281C0E91B3054C672WAF8G" TargetMode="External"/><Relationship Id="rId14" Type="http://schemas.openxmlformats.org/officeDocument/2006/relationships/hyperlink" Target="consultantplus://offline/ref=E173688957AB4A79629BB9D2227485BFD5AECFEB094161AB06D30E218A84A343A7D6AB2C5F970E82D21EC09902W8F1G" TargetMode="External"/><Relationship Id="rId15" Type="http://schemas.openxmlformats.org/officeDocument/2006/relationships/hyperlink" Target="consultantplus://offline/ref=E173688957AB4A79629BB9D2227485BFD5A8C8EC074661AB06D30E218A84A343B5D6F3205D951081D40B96C844D6D3EB1D3056C26EA8C304W4F1G" TargetMode="External"/><Relationship Id="rId16" Type="http://schemas.openxmlformats.org/officeDocument/2006/relationships/hyperlink" Target="https://akgo74.ru/documents/postanovleniya/2021-god/05-may/985-%D0%BF%20%D0%BE%D1%82%2021.05.2021.zip" TargetMode="External"/><Relationship Id="rId17" Type="http://schemas.openxmlformats.org/officeDocument/2006/relationships/hyperlink" Target="https://akgo74.ru/administratsiya/predprinimatelstvo/yarmarochnaya-torgovlya/2022/%D0%9F%D0%BE%D1%81%D1%82%D0%B0%D0%BD%D0%BE%D0%B2%D0%BB%D0%B5%D0%BD%D0%B8%D0%B5%20%D0%BE%D1%82%2024.02.22%20%E2%84%96554-%D0%BF%20%D0%9E%D0%B1%20%D1%83%D1%82%D0%B2%D0%B5%D1%80%D0%B6%D0%B4%D0%B5%D0%BD%D0%B8%D0%B8%20%D0%BF%D0%B5%D1%80%D0%B5%D1%87%D0%BD%D1%8F%20%D1%8F%D1%80%D0%BC%D0%B0%D1%80%D0%BE%D1%87%D0%BD%D1%8B%D1%85%20%D0%BF%D0%BB%D0%BE%D1%89%D0%B0%D0%B4%D0%BE%D0%BA.pdf" TargetMode="External"/><Relationship Id="rId18" Type="http://schemas.openxmlformats.org/officeDocument/2006/relationships/hyperlink" Target="https://akgo74.ru/administratsiya/predprinimatelstvo/yarmarochnaya-torgovlya/2022/%D0%9F%D0%BE%D1%81%D1%82%D0%B0%D0%BD%D0%BE%D0%B2%D0%BB%D0%B5%D0%BD%D0%B8%D0%B5%20%D0%BE%D1%82%2024.02.22%20%E2%84%96554-%D0%BF%20%D0%9E%D0%B1%20%D1%83%D1%82%D0%B2%D0%B5%D1%80%D0%B6%D0%B4%D0%B5%D0%BD%D0%B8%D0%B8%20%D0%BF%D0%B5%D1%80%D0%B5%D1%87%D0%BD%D1%8F%20%D1%8F%D1%80%D0%BC%D0%B0%D1%80%D0%BE%D1%87%D0%BD%D1%8B%D1%85%20%D0%BF%D0%BB%D0%BE%D1%89%D0%B0%D0%B4%D0%BE%D0%BA.pdf" TargetMode="External"/><Relationship Id="rId19" Type="http://schemas.openxmlformats.org/officeDocument/2006/relationships/hyperlink" Target="consultantplus://offline/ref=E173688957AB4A79629BB9D2227485BFD4AEC4E60E4461AB06D30E218A84A343B5D6F3205D951083D70B96C844D6D3EB1D3056C26EA8C304W4F1G" TargetMode="External"/><Relationship Id="rId20" Type="http://schemas.openxmlformats.org/officeDocument/2006/relationships/hyperlink" Target="consultantplus://offline/ref=E173688957AB4A79629BB9D2227485BFD5A0C8E7094E61AB06D30E218A84A343B5D6F3205D951080D00B96C844D6D3EB1D3056C26EA8C304W4F1G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revision>130</cp:revision>
  <dcterms:created xsi:type="dcterms:W3CDTF">2021-05-25T10:10:00Z</dcterms:created>
  <dcterms:modified xsi:type="dcterms:W3CDTF">2023-02-01T03:32:22Z</dcterms:modified>
</cp:coreProperties>
</file>