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0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gridSpan w:val="2"/>
            <w:tcW w:w="14786" w:type="dxa"/>
            <w:textDirection w:val="lrTb"/>
            <w:noWrap w:val="false"/>
          </w:tcPr>
          <w:p>
            <w:pPr>
              <w:pStyle w:val="71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/>
            <w:bookmarkStart w:id="0" w:name="sub_1015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ешение Собрания депутатов Копейского городского округа 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елябинской области от 03.07.2020 № 897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-МО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«Об утверждении Правил благоустройства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территории Копейского городского округа»</w:t>
            </w:r>
            <w:r/>
          </w:p>
        </w:tc>
      </w:tr>
      <w:tr>
        <w:trPr/>
        <w:tc>
          <w:tcPr>
            <w:tcW w:w="7393" w:type="dxa"/>
            <w:textDirection w:val="lrTb"/>
            <w:noWrap w:val="false"/>
          </w:tcPr>
          <w:p>
            <w:pPr>
              <w:pStyle w:val="713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  <w:lang w:val="en-US"/>
              </w:rPr>
              <w:t xml:space="preserve">II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Основные понятия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Приямок – углубление в земле, примыкающее к стене здания;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Реклама – информация, ра</w:t>
            </w:r>
            <w:r>
              <w:rPr>
                <w:sz w:val="26"/>
                <w:szCs w:val="26"/>
              </w:rPr>
              <w:t xml:space="preserve">спространенная 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jc w:val="both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  <w:lang w:val="en-US"/>
              </w:rPr>
              <w:t xml:space="preserve">III</w:t>
            </w:r>
            <w:r>
              <w:rPr>
                <w:sz w:val="26"/>
                <w:szCs w:val="26"/>
              </w:rPr>
              <w:t xml:space="preserve">. Требования к содержанию и благоустройству территории городского округа</w:t>
            </w:r>
            <w:r/>
          </w:p>
          <w:p>
            <w:pPr>
              <w:pStyle w:val="713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left="360" w:hanging="360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1. Общие требования к благоустройству территории города</w:t>
            </w:r>
            <w:r/>
          </w:p>
          <w:p>
            <w:pPr>
              <w:pStyle w:val="713"/>
              <w:ind w:left="360" w:hanging="360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 На территории города запрещается:</w:t>
            </w:r>
            <w:r/>
          </w:p>
          <w:p>
            <w:pPr>
              <w:ind w:firstLine="540"/>
              <w:rPr>
                <w:rFonts w:ascii="Times New Roman" w:hAnsi="Times New Roman" w:cs="Times New Roman"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9) торговля в неустановленных для этого местах на обочинах автомобильных дорог общего пользования, газонах, </w:t>
            </w: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тротуарах, остановках общественного транспорта и других неустановленных местах;</w:t>
            </w:r>
            <w:r/>
          </w:p>
          <w:p>
            <w:pPr>
              <w:ind w:firstLine="540"/>
              <w:rPr>
                <w:rFonts w:ascii="Times New Roman" w:hAnsi="Times New Roman" w:cs="Times New Roman"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10) самовольная установка временных нестационарных объектов;</w:t>
            </w:r>
            <w:r/>
          </w:p>
          <w:p>
            <w:pPr>
              <w:ind w:firstLine="540"/>
              <w:rPr>
                <w:rFonts w:ascii="Times New Roman" w:hAnsi="Times New Roman" w:cs="Times New Roman"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 w:eastAsia="Calibri"/>
                <w:sz w:val="26"/>
                <w:szCs w:val="26"/>
              </w:rPr>
            </w:r>
            <w:r/>
          </w:p>
          <w:p>
            <w:pPr>
              <w:ind w:firstLine="540"/>
              <w:rPr>
                <w:rFonts w:ascii="Times New Roman" w:hAnsi="Times New Roman" w:cs="Times New Roman"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 w:eastAsia="Calibri"/>
                <w:sz w:val="26"/>
                <w:szCs w:val="26"/>
              </w:rPr>
            </w:r>
            <w:r/>
          </w:p>
          <w:p>
            <w:pPr>
              <w:ind w:firstLine="540"/>
              <w:rPr>
                <w:rFonts w:ascii="Times New Roman" w:hAnsi="Times New Roman" w:cs="Times New Roman"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22) размещение на придомовых территориях в случае, когда земельный участок не образован, нестационарных объектов мелкорозничной торговой сети и (или) оказания услуг населению, автомобильных моек контейнерного типа»;</w:t>
            </w:r>
            <w:r/>
          </w:p>
          <w:p>
            <w:pPr>
              <w:pStyle w:val="713"/>
              <w:ind w:left="360" w:hanging="360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left="360" w:hanging="360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left="360" w:hanging="218"/>
              <w:jc w:val="center"/>
              <w:spacing w:after="0" w:afterAutospacing="0" w:before="0" w:beforeAutospacing="0"/>
              <w:shd w:val="clear" w:fill="FFFFFF" w:color="FFFFFF"/>
              <w:tabs>
                <w:tab w:val="left" w:pos="1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  <w:lang w:val="en-US"/>
              </w:rPr>
              <w:t xml:space="preserve">IV</w:t>
            </w:r>
            <w:r>
              <w:rPr>
                <w:sz w:val="26"/>
                <w:szCs w:val="26"/>
              </w:rPr>
              <w:t xml:space="preserve">. Организация содержан</w:t>
            </w:r>
            <w:r>
              <w:rPr>
                <w:sz w:val="26"/>
                <w:szCs w:val="26"/>
              </w:rPr>
              <w:t xml:space="preserve">ия и благоустройства территории </w:t>
            </w:r>
            <w:r>
              <w:rPr>
                <w:sz w:val="26"/>
                <w:szCs w:val="26"/>
              </w:rPr>
              <w:t xml:space="preserve">городского округа, виды работ по благоустройству</w:t>
            </w:r>
            <w:r/>
          </w:p>
          <w:p>
            <w:pPr>
              <w:pStyle w:val="713"/>
              <w:ind w:left="360" w:hanging="218"/>
              <w:spacing w:after="0" w:afterAutospacing="0" w:before="0" w:beforeAutospacing="0"/>
              <w:shd w:val="clear" w:fill="FFFFFF" w:color="FFFFFF"/>
              <w:tabs>
                <w:tab w:val="left" w:pos="1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left="360" w:hanging="218"/>
              <w:jc w:val="center"/>
              <w:spacing w:after="0" w:afterAutospacing="0" w:before="0" w:beforeAutospacing="0"/>
              <w:shd w:val="clear" w:fill="FFFFFF" w:color="FFFFFF"/>
              <w:tabs>
                <w:tab w:val="left" w:pos="1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1. Общие требования к организации и благоустройства территории городского округа, видам работ по благоустройству</w:t>
            </w:r>
            <w:r/>
          </w:p>
          <w:p>
            <w:pPr>
              <w:pStyle w:val="714"/>
              <w:ind w:firstLine="709"/>
              <w:jc w:val="both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 При осуществлении мероприятий по содержанию и благоустройству территории границы прилегающей территории определяются исходя из следующих параметров:</w:t>
            </w:r>
            <w:r/>
          </w:p>
          <w:p>
            <w:pPr>
              <w:pStyle w:val="714"/>
              <w:ind w:firstLine="709"/>
              <w:jc w:val="both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      </w:r>
            <w:r/>
          </w:p>
          <w:p>
            <w:pPr>
              <w:pStyle w:val="714"/>
              <w:ind w:firstLine="709"/>
              <w:jc w:val="both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pStyle w:val="713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  <w:lang w:val="en-US"/>
              </w:rPr>
              <w:t xml:space="preserve">II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Основные понятия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Приямок – углубление в земле, примыкающее к стене здания;</w:t>
            </w:r>
            <w:r/>
          </w:p>
          <w:p>
            <w:pPr>
              <w:pStyle w:val="713"/>
              <w:jc w:val="both"/>
              <w:spacing w:after="0" w:afterAutospacing="0" w:before="0" w:beforeAutospacing="0"/>
              <w:shd w:val="clear" w:fill="FFFFFF" w:color="FFFFFF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i/>
                <w:sz w:val="26"/>
                <w:szCs w:val="26"/>
              </w:rPr>
              <w:t xml:space="preserve">Развозная торговля – форма мелкорозничной торговли, осуществляемой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i/>
                <w:sz w:val="27"/>
                <w:szCs w:val="27"/>
              </w:rPr>
              <w:t xml:space="preserve">вне стацион</w:t>
            </w:r>
            <w:r>
              <w:rPr>
                <w:rFonts w:eastAsia="Calibri"/>
                <w:b/>
                <w:i/>
                <w:sz w:val="27"/>
                <w:szCs w:val="27"/>
              </w:rPr>
              <w:t xml:space="preserve">арной торговой сети с использованием специализированных или специально оборудованных для торговли передвижных мобильных сооружений, в том числе транспортных средств, а также мобильного оборудования, применяемого только в комплекте с транспортным средством.</w:t>
            </w:r>
            <w:r>
              <w:rPr>
                <w:i/>
              </w:rPr>
            </w:r>
          </w:p>
          <w:p>
            <w:pPr>
              <w:ind w:firstLine="0"/>
              <w:widowControl/>
              <w:rPr>
                <w:rFonts w:ascii="Times New Roman" w:hAnsi="Times New Roman" w:cs="Times New Roman" w:eastAsia="Calibri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 w:eastAsia="Calibri"/>
                <w:b/>
                <w:i/>
                <w:sz w:val="27"/>
                <w:szCs w:val="27"/>
              </w:rPr>
              <w:t xml:space="preserve">  К объектам развозной торговли относятся: автолавки, автофургоны, </w:t>
            </w:r>
            <w:r>
              <w:rPr>
                <w:rFonts w:ascii="Times New Roman" w:hAnsi="Times New Roman" w:cs="Times New Roman" w:eastAsia="Calibri"/>
                <w:b/>
                <w:i/>
                <w:sz w:val="27"/>
                <w:szCs w:val="27"/>
              </w:rPr>
              <w:t xml:space="preserve">тонары</w:t>
            </w:r>
            <w:r>
              <w:rPr>
                <w:rFonts w:ascii="Times New Roman" w:hAnsi="Times New Roman" w:cs="Times New Roman" w:eastAsia="Calibri"/>
                <w:b/>
                <w:i/>
                <w:sz w:val="27"/>
                <w:szCs w:val="27"/>
              </w:rPr>
              <w:t xml:space="preserve">, автоприцепы, автоцистерны, магазины-вагоны, автомагазины, передвижные торговые автоматы».</w:t>
            </w:r>
            <w:r>
              <w:rPr>
                <w:i/>
              </w:rPr>
            </w:r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Реклама – информация, ра</w:t>
            </w:r>
            <w:r>
              <w:rPr>
                <w:sz w:val="26"/>
                <w:szCs w:val="26"/>
              </w:rPr>
              <w:t xml:space="preserve">спространенная 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………………………………………………………………………..</w:t>
            </w:r>
            <w:r/>
          </w:p>
          <w:p>
            <w:pPr>
              <w:pStyle w:val="713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  <w:lang w:val="en-US"/>
              </w:rPr>
              <w:t xml:space="preserve">III</w:t>
            </w:r>
            <w:r>
              <w:rPr>
                <w:sz w:val="26"/>
                <w:szCs w:val="26"/>
              </w:rPr>
              <w:t xml:space="preserve">. Требования к содержанию и благоустройству территории городского округа</w:t>
            </w:r>
            <w:r/>
          </w:p>
          <w:p>
            <w:pPr>
              <w:pStyle w:val="713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left="360" w:hanging="360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1. Общие требования к благоустройству территории города</w:t>
            </w:r>
            <w:r/>
          </w:p>
          <w:p>
            <w:pPr>
              <w:pStyle w:val="713"/>
              <w:ind w:left="360" w:hanging="360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 На территории города запрещается:</w:t>
            </w:r>
            <w:r/>
          </w:p>
          <w:p>
            <w:pPr>
              <w:ind w:firstLine="540"/>
              <w:rPr>
                <w:rFonts w:ascii="Times New Roman" w:hAnsi="Times New Roman" w:cs="Times New Roman"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9) торговля,</w:t>
            </w:r>
            <w:r>
              <w:rPr>
                <w:rFonts w:ascii="Times New Roman" w:hAnsi="Times New Roman" w:cs="Times New Roman" w:eastAsia="Calibri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i/>
                <w:sz w:val="26"/>
                <w:szCs w:val="26"/>
              </w:rPr>
              <w:t xml:space="preserve">в том числе развозная</w:t>
            </w:r>
            <w:r>
              <w:rPr>
                <w:rFonts w:ascii="Times New Roman" w:hAnsi="Times New Roman" w:cs="Times New Roman" w:eastAsia="Calibri"/>
                <w:i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 в неустановленных для этого местах на обочинах автомобильных дорог общего </w:t>
            </w: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пользования, газонах, тротуарах, остановках общественного транспорта и других неустановленных местах;</w:t>
            </w:r>
            <w:r/>
          </w:p>
          <w:p>
            <w:pPr>
              <w:ind w:firstLine="540"/>
              <w:rPr>
                <w:rFonts w:ascii="Times New Roman" w:hAnsi="Times New Roman" w:cs="Times New Roman"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10) самовольная установка </w:t>
            </w:r>
            <w:r>
              <w:rPr>
                <w:rFonts w:ascii="Times New Roman" w:hAnsi="Times New Roman" w:cs="Times New Roman" w:eastAsia="Calibri"/>
                <w:b/>
                <w:i/>
                <w:sz w:val="26"/>
                <w:szCs w:val="26"/>
              </w:rPr>
              <w:t xml:space="preserve">(без оформленных в установленном порядке документов, подтверждающих право на размещение)</w:t>
            </w: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 временных нестационарных объектов, </w:t>
            </w:r>
            <w:r>
              <w:rPr>
                <w:rFonts w:ascii="Times New Roman" w:hAnsi="Times New Roman" w:cs="Times New Roman" w:eastAsia="Calibri"/>
                <w:b/>
                <w:sz w:val="26"/>
                <w:szCs w:val="26"/>
              </w:rPr>
              <w:t xml:space="preserve">в том числе объектов развозной торговли;</w:t>
            </w:r>
            <w:r/>
          </w:p>
          <w:p>
            <w:pPr>
              <w:ind w:firstLine="540"/>
              <w:rPr>
                <w:rFonts w:ascii="Times New Roman" w:hAnsi="Times New Roman" w:cs="Times New Roman"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22) размещение на придомовых территориях в случае, когда земельный участок не образован, нестационарных объектов мелкорозничной торговой сети и (или) оказания услуг населению, </w:t>
            </w:r>
            <w:r>
              <w:rPr>
                <w:rFonts w:ascii="Times New Roman" w:hAnsi="Times New Roman" w:cs="Times New Roman" w:eastAsia="Calibri"/>
                <w:b/>
                <w:i/>
                <w:sz w:val="26"/>
                <w:szCs w:val="26"/>
              </w:rPr>
              <w:t xml:space="preserve">объектов развозной</w:t>
            </w:r>
            <w:r>
              <w:rPr>
                <w:rFonts w:ascii="Times New Roman" w:hAnsi="Times New Roman" w:cs="Times New Roman" w:eastAsia="Calibri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i/>
                <w:sz w:val="26"/>
                <w:szCs w:val="26"/>
              </w:rPr>
              <w:t xml:space="preserve">торговли</w:t>
            </w:r>
            <w:r>
              <w:rPr>
                <w:rFonts w:ascii="Times New Roman" w:hAnsi="Times New Roman" w:cs="Times New Roman" w:eastAsia="Calibri"/>
                <w:sz w:val="26"/>
                <w:szCs w:val="26"/>
              </w:rPr>
              <w:t xml:space="preserve">, автомобильных моек контейнерного типа»;</w:t>
            </w:r>
            <w:r/>
          </w:p>
          <w:p>
            <w:pPr>
              <w:ind w:firstLine="540"/>
              <w:rPr>
                <w:rFonts w:ascii="Times New Roman" w:hAnsi="Times New Roman" w:cs="Times New Roman"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 w:eastAsia="Calibri"/>
                <w:sz w:val="26"/>
                <w:szCs w:val="26"/>
              </w:rPr>
            </w:r>
            <w:r/>
          </w:p>
          <w:p>
            <w:pPr>
              <w:pStyle w:val="713"/>
              <w:ind w:left="360" w:hanging="218"/>
              <w:jc w:val="center"/>
              <w:spacing w:after="0" w:afterAutospacing="0" w:before="0" w:beforeAutospacing="0"/>
              <w:shd w:val="clear" w:fill="FFFFFF" w:color="FFFFFF"/>
              <w:tabs>
                <w:tab w:val="left" w:pos="1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  <w:lang w:val="en-US"/>
              </w:rPr>
              <w:t xml:space="preserve">IV</w:t>
            </w:r>
            <w:r>
              <w:rPr>
                <w:sz w:val="26"/>
                <w:szCs w:val="26"/>
              </w:rPr>
              <w:t xml:space="preserve">. Организация содержания и благоустройства территории городского округа, виды работ по благоустройству</w:t>
            </w:r>
            <w:r/>
          </w:p>
          <w:p>
            <w:pPr>
              <w:pStyle w:val="713"/>
              <w:ind w:left="360" w:hanging="218"/>
              <w:spacing w:after="0" w:afterAutospacing="0" w:before="0" w:beforeAutospacing="0"/>
              <w:shd w:val="clear" w:fill="FFFFFF" w:color="FFFFFF"/>
              <w:tabs>
                <w:tab w:val="left" w:pos="1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left="360" w:hanging="218"/>
              <w:jc w:val="center"/>
              <w:spacing w:after="0" w:afterAutospacing="0" w:before="0" w:beforeAutospacing="0"/>
              <w:shd w:val="clear" w:fill="FFFFFF" w:color="FFFFFF"/>
              <w:tabs>
                <w:tab w:val="left" w:pos="135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1. Общие требования к организации и благоустройства территории городского округа, видам работ по благоустройству</w:t>
            </w:r>
            <w:r/>
          </w:p>
          <w:p>
            <w:pPr>
              <w:pStyle w:val="714"/>
              <w:ind w:firstLine="709"/>
              <w:jc w:val="both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 При осуществлении мероприятий по содержанию и благоустройству территории границы прилегающей территории определяются исходя из следующих параметров:</w:t>
            </w:r>
            <w:r/>
          </w:p>
          <w:p>
            <w:pPr>
              <w:pStyle w:val="714"/>
              <w:ind w:firstLine="709"/>
              <w:jc w:val="both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</w:t>
            </w:r>
            <w:r>
              <w:rPr>
                <w:sz w:val="26"/>
                <w:szCs w:val="26"/>
              </w:rPr>
              <w:t xml:space="preserve">др.), </w:t>
            </w:r>
            <w:r>
              <w:rPr>
                <w:b/>
                <w:i/>
                <w:sz w:val="26"/>
                <w:szCs w:val="26"/>
              </w:rPr>
              <w:t xml:space="preserve">объектов развозной торговли</w:t>
            </w:r>
            <w:r>
              <w:rPr>
                <w:i/>
                <w:sz w:val="26"/>
                <w:szCs w:val="26"/>
              </w:rPr>
              <w:t xml:space="preserve">,</w:t>
            </w:r>
            <w:r>
              <w:rPr>
                <w:sz w:val="26"/>
                <w:szCs w:val="26"/>
              </w:rPr>
              <w:t xml:space="preserve"> гаражей, расположенных:</w:t>
            </w:r>
            <w:r/>
          </w:p>
          <w:p>
            <w:pPr>
              <w:pStyle w:val="714"/>
              <w:ind w:firstLine="709"/>
              <w:jc w:val="both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4"/>
              <w:ind w:firstLine="709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  <w:lang w:val="en-US"/>
              </w:rPr>
              <w:t xml:space="preserve">VI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 Организация передвижения машин и механизмов на территории городского округа</w:t>
            </w:r>
            <w:r/>
          </w:p>
          <w:p>
            <w:pPr>
              <w:pStyle w:val="714"/>
              <w:ind w:firstLine="709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4"/>
              <w:ind w:firstLine="709"/>
              <w:jc w:val="center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1. Гостевые маршруты</w:t>
            </w:r>
            <w:r/>
          </w:p>
          <w:p>
            <w:pPr>
              <w:pStyle w:val="714"/>
              <w:ind w:firstLine="709"/>
              <w:jc w:val="both"/>
              <w:spacing w:after="0" w:afterAutospacing="0" w:before="0" w:beforeAutospacing="0"/>
              <w:shd w:val="clear" w:fill="FFFFFF" w:color="FFFF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Подр</w:t>
            </w:r>
            <w:r>
              <w:rPr>
                <w:b/>
                <w:i/>
                <w:sz w:val="26"/>
                <w:szCs w:val="26"/>
              </w:rPr>
              <w:t xml:space="preserve">аздел 5. Объекты развозной торговли</w:t>
            </w:r>
            <w:r>
              <w:rPr>
                <w:i/>
              </w:rPr>
            </w:r>
          </w:p>
          <w:p>
            <w:pPr>
              <w:ind w:firstLine="709"/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  <w:t xml:space="preserve">295.1. Размещение объектов развозной торговли не допускается в следующих местах на территориях общего пользования:</w:t>
            </w:r>
            <w:r>
              <w:rPr>
                <w:i/>
              </w:rPr>
            </w:r>
          </w:p>
          <w:p>
            <w:pPr>
              <w:ind w:firstLine="709"/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  <w:t xml:space="preserve">1) не разрешенных для стоянки Правилами дорожного движения Российской Федерации, не имеющих подъездных путей, мешающих движению пешеходов;</w:t>
            </w:r>
            <w:r>
              <w:rPr>
                <w:i/>
              </w:rPr>
            </w:r>
          </w:p>
          <w:p>
            <w:pPr>
              <w:ind w:firstLine="709"/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  <w:t xml:space="preserve">2) относящихся к охранным зонам памятников истории, культуры и архитектуры, санитарно – защитным зонам, территориям, занятым зелеными насаждениями, придомовым территориям в случае, когда земельный участок не образован.</w:t>
            </w:r>
            <w:r>
              <w:rPr>
                <w:i/>
              </w:rPr>
            </w:r>
          </w:p>
          <w:p>
            <w:pPr>
              <w:ind w:firstLine="709"/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  <w:t xml:space="preserve">295.2 Осуществление развозной торговли не допускается, если объект развозной торговли находится в технически неисправном состоянии, не соотв</w:t>
            </w:r>
            <w:r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  <w:t xml:space="preserve">етствует требованиям безопасности, санитарно – гигиеническим нормам и правилам, требованиям законодательства Российской Федерации о рекламе, не имеет вывески, содержащей информацию, предусмотренную Законом Российской Федерации «О защите прав потребителей».</w:t>
            </w:r>
            <w:r>
              <w:rPr>
                <w:i/>
              </w:rPr>
            </w:r>
          </w:p>
          <w:p>
            <w:pPr>
              <w:ind w:firstLine="709"/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  <w:t xml:space="preserve">295.3. Требования к размещению и внешнему виду объектов для осуществления развозной торговли на территориях общего пользования, осуществлению их деяте</w:t>
            </w:r>
            <w:r>
              <w:rPr>
                <w:rFonts w:ascii="Times New Roman" w:hAnsi="Times New Roman" w:cs="Calibri" w:eastAsia="Calibri"/>
                <w:b/>
                <w:i/>
                <w:sz w:val="27"/>
                <w:szCs w:val="27"/>
              </w:rPr>
              <w:t xml:space="preserve">льности, порядок выдачи разрешения на размещение объекта развозной торговли, порядок отзыва или аннулирования разрешений, порядок ведения реестра выданных разрешений устанавливаются муниципальными нормативными правовыми актами Копейского городского округа.</w:t>
            </w:r>
            <w:r>
              <w:rPr>
                <w:i/>
              </w:rPr>
            </w:r>
          </w:p>
          <w:p>
            <w:pPr>
              <w:pStyle w:val="714"/>
              <w:jc w:val="both"/>
              <w:spacing w:after="0" w:afterAutospacing="0" w:before="0" w:beforeAutospacing="0"/>
              <w:shd w:val="clear" w:fill="FFFFFF" w:color="FFFFFF"/>
              <w:rPr>
                <w:sz w:val="26"/>
                <w:szCs w:val="26"/>
              </w:rPr>
            </w:pPr>
            <w:r/>
            <w:bookmarkStart w:id="1" w:name="_GoBack"/>
            <w:r/>
            <w:bookmarkEnd w:id="1"/>
            <w:r/>
            <w:bookmarkEnd w:id="0"/>
            <w:r/>
          </w:p>
        </w:tc>
      </w:tr>
    </w:tbl>
    <w:p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1134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Liberation Serif">
    <w:panose1 w:val="020206030504050203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720"/>
        <w:tabs>
          <w:tab w:val="num" w:pos="0" w:leader="none"/>
        </w:tabs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2"/>
    <w:next w:val="7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2"/>
    <w:next w:val="7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2"/>
    <w:next w:val="7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2"/>
    <w:next w:val="7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2"/>
    <w:next w:val="7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2"/>
    <w:next w:val="7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2"/>
    <w:next w:val="7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2"/>
    <w:next w:val="7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2"/>
    <w:next w:val="7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02"/>
    <w:next w:val="7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03"/>
    <w:link w:val="32"/>
    <w:uiPriority w:val="10"/>
    <w:rPr>
      <w:sz w:val="48"/>
      <w:szCs w:val="48"/>
    </w:rPr>
  </w:style>
  <w:style w:type="paragraph" w:styleId="34">
    <w:name w:val="Subtitle"/>
    <w:basedOn w:val="702"/>
    <w:next w:val="7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03"/>
    <w:link w:val="34"/>
    <w:uiPriority w:val="11"/>
    <w:rPr>
      <w:sz w:val="24"/>
      <w:szCs w:val="24"/>
    </w:rPr>
  </w:style>
  <w:style w:type="paragraph" w:styleId="36">
    <w:name w:val="Quote"/>
    <w:basedOn w:val="702"/>
    <w:next w:val="7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2"/>
    <w:next w:val="70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3"/>
    <w:link w:val="718"/>
    <w:uiPriority w:val="99"/>
  </w:style>
  <w:style w:type="character" w:styleId="43">
    <w:name w:val="Footer Char"/>
    <w:basedOn w:val="703"/>
    <w:link w:val="720"/>
    <w:uiPriority w:val="99"/>
  </w:style>
  <w:style w:type="paragraph" w:styleId="44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0"/>
    <w:uiPriority w:val="99"/>
  </w:style>
  <w:style w:type="table" w:styleId="47">
    <w:name w:val="Table Grid Light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3"/>
    <w:uiPriority w:val="99"/>
    <w:unhideWhenUsed/>
    <w:rPr>
      <w:vertAlign w:val="superscript"/>
    </w:rPr>
  </w:style>
  <w:style w:type="paragraph" w:styleId="176">
    <w:name w:val="endnote text"/>
    <w:basedOn w:val="7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3"/>
    <w:uiPriority w:val="99"/>
    <w:semiHidden/>
    <w:unhideWhenUsed/>
    <w:rPr>
      <w:vertAlign w:val="superscript"/>
    </w:rPr>
  </w:style>
  <w:style w:type="paragraph" w:styleId="179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  <w:rPr>
      <w:rFonts w:ascii="Arial" w:hAnsi="Arial" w:cs="Arial" w:eastAsia="Calibri"/>
      <w:sz w:val="24"/>
      <w:szCs w:val="24"/>
      <w:lang w:eastAsia="ru-RU"/>
    </w:rPr>
    <w:pPr>
      <w:ind w:firstLine="720"/>
      <w:jc w:val="both"/>
      <w:spacing w:lineRule="auto" w:line="240" w:after="0"/>
      <w:widowControl w:val="off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Гипертекстовая ссылка"/>
    <w:basedOn w:val="703"/>
    <w:uiPriority w:val="99"/>
    <w:rPr>
      <w:color w:val="106BBE"/>
    </w:rPr>
  </w:style>
  <w:style w:type="paragraph" w:styleId="707">
    <w:name w:val="Balloon Text"/>
    <w:basedOn w:val="702"/>
    <w:link w:val="708"/>
    <w:uiPriority w:val="99"/>
    <w:semiHidden/>
    <w:unhideWhenUsed/>
    <w:rPr>
      <w:rFonts w:ascii="Tahoma" w:hAnsi="Tahoma" w:cs="Tahoma"/>
      <w:sz w:val="16"/>
      <w:szCs w:val="16"/>
    </w:rPr>
  </w:style>
  <w:style w:type="character" w:styleId="708" w:customStyle="1">
    <w:name w:val="Текст выноски Знак"/>
    <w:basedOn w:val="703"/>
    <w:link w:val="707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table" w:styleId="709">
    <w:name w:val="Table Grid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0">
    <w:name w:val="List Paragraph"/>
    <w:basedOn w:val="702"/>
    <w:qFormat/>
    <w:uiPriority w:val="34"/>
    <w:pPr>
      <w:contextualSpacing w:val="true"/>
      <w:ind w:left="720"/>
    </w:pPr>
  </w:style>
  <w:style w:type="paragraph" w:styleId="711">
    <w:name w:val="Normal (Web)"/>
    <w:basedOn w:val="702"/>
    <w:uiPriority w:val="99"/>
    <w:semiHidden/>
    <w:unhideWhenUsed/>
    <w:rPr>
      <w:rFonts w:ascii="Times New Roman" w:hAnsi="Times New Roman" w:cs="Times New Roman" w:eastAsia="Calibri"/>
      <w:lang w:eastAsia="en-US"/>
    </w:rPr>
    <w:pPr>
      <w:ind w:firstLine="0"/>
      <w:jc w:val="left"/>
      <w:spacing w:lineRule="auto" w:line="276" w:after="200"/>
      <w:widowControl/>
    </w:pPr>
  </w:style>
  <w:style w:type="paragraph" w:styleId="712" w:customStyle="1">
    <w:name w:val="Standard"/>
    <w:rPr>
      <w:rFonts w:ascii="Liberation Serif" w:hAnsi="Liberation Serif" w:cs="Arial" w:eastAsia="SimSun"/>
      <w:sz w:val="24"/>
      <w:szCs w:val="24"/>
      <w:lang w:bidi="hi-IN" w:eastAsia="zh-CN"/>
    </w:rPr>
    <w:pPr>
      <w:spacing w:lineRule="auto" w:line="240" w:after="0"/>
    </w:pPr>
  </w:style>
  <w:style w:type="paragraph" w:styleId="713" w:customStyle="1">
    <w:name w:val="s_3"/>
    <w:basedOn w:val="702"/>
    <w:rPr>
      <w:rFonts w:ascii="Times New Roman" w:hAnsi="Times New Roman" w:cs="Times New Roman" w:eastAsia="Times New Roman"/>
    </w:rPr>
    <w:pPr>
      <w:ind w:firstLine="0"/>
      <w:jc w:val="left"/>
      <w:spacing w:after="100" w:afterAutospacing="1" w:before="100" w:beforeAutospacing="1"/>
      <w:widowControl/>
    </w:pPr>
  </w:style>
  <w:style w:type="paragraph" w:styleId="714" w:customStyle="1">
    <w:name w:val="s_1"/>
    <w:basedOn w:val="702"/>
    <w:rPr>
      <w:rFonts w:ascii="Times New Roman" w:hAnsi="Times New Roman" w:cs="Times New Roman" w:eastAsia="Times New Roman"/>
    </w:rPr>
    <w:pPr>
      <w:ind w:firstLine="0"/>
      <w:jc w:val="left"/>
      <w:spacing w:after="100" w:afterAutospacing="1" w:before="100" w:beforeAutospacing="1"/>
      <w:widowControl/>
    </w:pPr>
  </w:style>
  <w:style w:type="character" w:styleId="715">
    <w:name w:val="Hyperlink"/>
    <w:basedOn w:val="703"/>
    <w:uiPriority w:val="99"/>
    <w:semiHidden/>
    <w:unhideWhenUsed/>
    <w:rPr>
      <w:color w:val="0000FF"/>
      <w:u w:val="single"/>
    </w:rPr>
  </w:style>
  <w:style w:type="paragraph" w:styleId="716" w:customStyle="1">
    <w:name w:val="s_22"/>
    <w:basedOn w:val="702"/>
    <w:rPr>
      <w:rFonts w:ascii="Times New Roman" w:hAnsi="Times New Roman" w:cs="Times New Roman" w:eastAsia="Times New Roman"/>
    </w:rPr>
    <w:pPr>
      <w:ind w:firstLine="0"/>
      <w:jc w:val="left"/>
      <w:spacing w:after="100" w:afterAutospacing="1" w:before="100" w:beforeAutospacing="1"/>
      <w:widowControl/>
    </w:pPr>
  </w:style>
  <w:style w:type="paragraph" w:styleId="717" w:customStyle="1">
    <w:name w:val="ConsPlusNormal"/>
    <w:rPr>
      <w:rFonts w:ascii="Calibri" w:hAnsi="Calibri" w:cs="Calibri" w:eastAsia="Calibri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718">
    <w:name w:val="Header"/>
    <w:basedOn w:val="702"/>
    <w:link w:val="71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9" w:customStyle="1">
    <w:name w:val="Верхний колонтитул Знак"/>
    <w:basedOn w:val="703"/>
    <w:link w:val="718"/>
    <w:uiPriority w:val="99"/>
    <w:rPr>
      <w:rFonts w:ascii="Arial" w:hAnsi="Arial" w:cs="Arial" w:eastAsia="Calibri"/>
      <w:sz w:val="24"/>
      <w:szCs w:val="24"/>
      <w:lang w:eastAsia="ru-RU"/>
    </w:rPr>
  </w:style>
  <w:style w:type="paragraph" w:styleId="720">
    <w:name w:val="Footer"/>
    <w:basedOn w:val="702"/>
    <w:link w:val="72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1" w:customStyle="1">
    <w:name w:val="Нижний колонтитул Знак"/>
    <w:basedOn w:val="703"/>
    <w:link w:val="720"/>
    <w:uiPriority w:val="99"/>
    <w:rPr>
      <w:rFonts w:ascii="Arial" w:hAnsi="Arial" w:cs="Arial" w:eastAsia="Calibri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revision>19</cp:revision>
  <dcterms:created xsi:type="dcterms:W3CDTF">2019-12-11T05:35:00Z</dcterms:created>
  <dcterms:modified xsi:type="dcterms:W3CDTF">2021-08-09T05:31:15Z</dcterms:modified>
</cp:coreProperties>
</file>