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uto" w:line="240" w:before="0" w:after="0"/>
        <w:rPr>
          <w:sz w:val="27"/>
          <w:szCs w:val="27"/>
        </w:rPr>
      </w:pPr>
      <w:r>
        <w:rPr>
          <w:b w:val="false"/>
          <w:sz w:val="27"/>
          <w:szCs w:val="27"/>
        </w:rPr>
        <w:t>ДОКЛАД</w:t>
        <w:br/>
        <w:t xml:space="preserve">         о достижении целей введения обязательных требований содержащихся </w:t>
      </w:r>
    </w:p>
    <w:p>
      <w:pPr>
        <w:pStyle w:val="Heading2"/>
        <w:spacing w:lineRule="auto" w:line="240" w:before="0" w:after="0"/>
        <w:rPr>
          <w:sz w:val="27"/>
          <w:szCs w:val="27"/>
        </w:rPr>
      </w:pPr>
      <w:r>
        <w:rPr>
          <w:b w:val="false"/>
          <w:sz w:val="27"/>
          <w:szCs w:val="27"/>
        </w:rPr>
        <w:t xml:space="preserve">в пунктах 1.1, 4, 4.1, 5, 5.1, 5.2 постановления администрации Копейского городского округа от 29 октября 2014 года № 3697-п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</w:t>
      </w:r>
    </w:p>
    <w:p>
      <w:pPr>
        <w:pStyle w:val="Heading2"/>
        <w:spacing w:lineRule="auto" w:line="240" w:before="0" w:after="0"/>
        <w:rPr>
          <w:sz w:val="27"/>
          <w:szCs w:val="27"/>
        </w:rPr>
      </w:pPr>
      <w:r>
        <w:rPr>
          <w:b w:val="false"/>
          <w:sz w:val="27"/>
          <w:szCs w:val="27"/>
        </w:rPr>
        <w:t>(далее — постановление № 3697-п, городской округ)</w:t>
      </w:r>
    </w:p>
    <w:p>
      <w:pPr>
        <w:pStyle w:val="Normal"/>
        <w:spacing w:lineRule="auto" w:line="2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ListParagraph"/>
        <w:numPr>
          <w:ilvl w:val="0"/>
          <w:numId w:val="2"/>
        </w:numPr>
        <w:spacing w:lineRule="auto" w:line="240"/>
        <w:jc w:val="center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Общая информация</w:t>
      </w:r>
    </w:p>
    <w:p>
      <w:pPr>
        <w:pStyle w:val="ListParagraph"/>
        <w:spacing w:lineRule="auto" w:line="240"/>
        <w:ind w:hanging="0" w:left="1069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ListParagraph"/>
        <w:numPr>
          <w:ilvl w:val="1"/>
          <w:numId w:val="2"/>
        </w:numPr>
        <w:spacing w:lineRule="auto" w:line="240"/>
        <w:ind w:firstLine="567" w:left="142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Основания проведения процедуры оценки применения обязательных требований:</w:t>
      </w:r>
    </w:p>
    <w:p>
      <w:pPr>
        <w:pStyle w:val="Normal"/>
        <w:spacing w:lineRule="auto" w:line="240"/>
        <w:ind w:firstLine="708"/>
        <w:rPr>
          <w:sz w:val="27"/>
          <w:szCs w:val="27"/>
        </w:rPr>
      </w:pPr>
      <w:r>
        <w:rPr>
          <w:sz w:val="27"/>
          <w:szCs w:val="27"/>
        </w:rPr>
        <w:t>Настоящий доклад разработан в соответствии с:</w:t>
      </w:r>
    </w:p>
    <w:p>
      <w:pPr>
        <w:pStyle w:val="Normal"/>
        <w:spacing w:lineRule="auto" w:line="240"/>
        <w:ind w:firstLine="708"/>
        <w:rPr>
          <w:sz w:val="27"/>
          <w:szCs w:val="27"/>
        </w:rPr>
      </w:pPr>
      <w:r>
        <w:rPr>
          <w:sz w:val="27"/>
          <w:szCs w:val="27"/>
        </w:rPr>
        <w:t>- Федеральным законом от 31.07.2020 г. № 247-ФЗ «Об обязательных требованиях в Российской Федерации»;</w:t>
      </w:r>
    </w:p>
    <w:p>
      <w:pPr>
        <w:pStyle w:val="Normal"/>
        <w:spacing w:lineRule="auto" w:line="240"/>
        <w:ind w:firstLine="708"/>
        <w:rPr>
          <w:sz w:val="27"/>
          <w:szCs w:val="27"/>
        </w:rPr>
      </w:pPr>
      <w:r>
        <w:rPr>
          <w:sz w:val="27"/>
          <w:szCs w:val="27"/>
        </w:rPr>
        <w:t>- пунктом 11 Порядка установления и оценки применения содержащихся в нормативных правовых актах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ответственности, предоставления разрешений, утвержденного постановлением администрации Копейского городского округа от 03.12.2024 № 3721-п;</w:t>
      </w:r>
    </w:p>
    <w:p>
      <w:pPr>
        <w:pStyle w:val="Normal"/>
        <w:spacing w:lineRule="auto" w:line="240"/>
        <w:ind w:firstLine="708"/>
        <w:rPr>
          <w:sz w:val="27"/>
          <w:szCs w:val="27"/>
        </w:rPr>
      </w:pPr>
      <w:r>
        <w:rPr>
          <w:sz w:val="27"/>
          <w:szCs w:val="27"/>
        </w:rPr>
        <w:t>- оценкой фактического воздействия указанных нормативных правовых актов городского округа, проводимой в соответствии с решением Собрания депутатов Копейского городского округа от 25.10.2023 № 943-МО «Об утверждении Порядка проведения оценки регулирующего воздействия проектов муниципальных нормативных правовых актов Копейского городского округа и экспертизы муниципальных нормативных правовых актов Копейского городского округа».</w:t>
      </w:r>
    </w:p>
    <w:p>
      <w:pPr>
        <w:pStyle w:val="Normal"/>
        <w:spacing w:lineRule="auto" w:line="240"/>
        <w:ind w:firstLine="708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ListParagraph"/>
        <w:numPr>
          <w:ilvl w:val="1"/>
          <w:numId w:val="2"/>
        </w:numPr>
        <w:spacing w:lineRule="auto" w:line="240"/>
        <w:ind w:firstLine="567" w:left="142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Исполнительный орган, осуществляющий полномочия в соответствующих сферах общественных отношений, в том числе разработку акта, содержащего обязательные требования:</w:t>
      </w:r>
    </w:p>
    <w:p>
      <w:pPr>
        <w:pStyle w:val="ListParagraph"/>
        <w:numPr>
          <w:ilvl w:val="0"/>
          <w:numId w:val="0"/>
        </w:numPr>
        <w:spacing w:lineRule="auto" w:line="240"/>
        <w:ind w:hanging="0" w:left="142"/>
        <w:rPr>
          <w:rFonts w:ascii="Times New Roman" w:hAnsi="Times New Roman"/>
          <w:b w:val="false"/>
          <w:bCs w:val="false"/>
          <w:sz w:val="27"/>
          <w:szCs w:val="27"/>
        </w:rPr>
      </w:pPr>
      <w:r>
        <w:rPr>
          <w:b w:val="false"/>
          <w:bCs w:val="false"/>
          <w:sz w:val="27"/>
          <w:szCs w:val="27"/>
        </w:rPr>
      </w:r>
    </w:p>
    <w:p>
      <w:pPr>
        <w:sectPr>
          <w:type w:val="nextPage"/>
          <w:pgSz w:w="11906" w:h="16838"/>
          <w:pgMar w:left="1701" w:right="851" w:gutter="0" w:header="0" w:top="1418" w:footer="0" w:bottom="1134"/>
          <w:pgNumType w:fmt="decimal"/>
          <w:formProt w:val="false"/>
          <w:textDirection w:val="lrTb"/>
          <w:docGrid w:type="default" w:linePitch="381" w:charSpace="0"/>
        </w:sect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 учетом имеющихся полномочий, установленных постановлением Губернатора Челябинской области от 09.08.2004 г. № 407 «О Министерстве сельского хозяйства Челябинской области», и постановлением Правительства Челябинской области от 20.09.2021 г. № 431-П «О Положении о региональном государственном контроле (надзоре) в области розничной продажи алкогольной и спиртосодержащей продукции» Министерство сельского хозяйства Челябинской области осуществляет региональный государственный контроль (надзор) в области розничной продажи алкогольной и спиртосодержащей продукции, предметом, которого в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соответствии со ст. 23.1 Федерального закона от 22.11.1995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является: </w:t>
      </w:r>
    </w:p>
    <w:p>
      <w:pPr>
        <w:pStyle w:val="Normal"/>
        <w:spacing w:lineRule="auto" w:line="240"/>
        <w:ind w:firstLine="539"/>
        <w:rPr>
          <w:sz w:val="27"/>
          <w:szCs w:val="27"/>
        </w:rPr>
      </w:pPr>
      <w:r>
        <w:rPr>
          <w:sz w:val="27"/>
          <w:szCs w:val="27"/>
        </w:rPr>
        <w:t>1) соблюдение организациями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 (за исключением лицензионных требований к производству, поставкам, хранению и розничной продаже произведенной сельскохозяйственными товаропроизводителями винодельческой продукции);</w:t>
      </w:r>
    </w:p>
    <w:p>
      <w:pPr>
        <w:pStyle w:val="Normal"/>
        <w:spacing w:lineRule="auto" w:line="240"/>
        <w:ind w:firstLine="539"/>
        <w:rPr/>
      </w:pPr>
      <w:r>
        <w:rPr>
          <w:sz w:val="27"/>
          <w:szCs w:val="27"/>
        </w:rPr>
        <w:t xml:space="preserve">2) соблюдение организациями, индивидуальными предпринимателями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питания, установленных </w:t>
      </w:r>
      <w:hyperlink r:id="rId2">
        <w:r>
          <w:rPr>
            <w:color w:val="000000"/>
            <w:sz w:val="27"/>
            <w:szCs w:val="27"/>
          </w:rPr>
          <w:t>статьей 16</w:t>
        </w:r>
      </w:hyperlink>
      <w:r>
        <w:rPr>
          <w:color w:val="000000"/>
          <w:sz w:val="27"/>
          <w:szCs w:val="27"/>
        </w:rPr>
        <w:t xml:space="preserve"> </w:t>
      </w:r>
      <w:r>
        <w:rPr>
          <w:sz w:val="27"/>
          <w:szCs w:val="27"/>
        </w:rPr>
        <w:t>настоящего Федерального закона, обязательных требований к розничной продаже спиртосодержащей продукции, обязательных требований к фиксации в единой государственной автоматизированной информационной системе сведений об обороте алкогольной продукции, обязательных требований к маркировке пива и пивных напитков, сидра, пуаре, медовухи средствами идентификации и к представлению сведений об обороте пива и пивных напитков, сидра, пуаре, медовухи, установленных правилами маркировки пива, лицами, осуществляющими их розничную продажу, за исключением обязательных требований, установленных техническими регламентами (в ред. Федерального</w:t>
      </w:r>
      <w:r>
        <w:rPr>
          <w:color w:val="000000"/>
          <w:sz w:val="27"/>
          <w:szCs w:val="27"/>
        </w:rPr>
        <w:t xml:space="preserve"> </w:t>
      </w:r>
      <w:hyperlink r:id="rId3">
        <w:r>
          <w:rPr>
            <w:color w:val="000000"/>
            <w:sz w:val="27"/>
            <w:szCs w:val="27"/>
          </w:rPr>
          <w:t>закона</w:t>
        </w:r>
      </w:hyperlink>
      <w:r>
        <w:rPr>
          <w:color w:val="000000"/>
          <w:sz w:val="27"/>
          <w:szCs w:val="27"/>
        </w:rPr>
        <w:t xml:space="preserve"> </w:t>
      </w:r>
      <w:r>
        <w:rPr>
          <w:sz w:val="27"/>
          <w:szCs w:val="27"/>
        </w:rPr>
        <w:t>от 03.04.2023 N 108-ФЗ);</w:t>
      </w:r>
    </w:p>
    <w:p>
      <w:pPr>
        <w:pStyle w:val="Normal"/>
        <w:spacing w:lineRule="auto" w:line="240"/>
        <w:ind w:firstLine="540"/>
        <w:rPr>
          <w:sz w:val="27"/>
          <w:szCs w:val="27"/>
        </w:rPr>
      </w:pPr>
      <w:r>
        <w:rPr>
          <w:sz w:val="27"/>
          <w:szCs w:val="27"/>
        </w:rPr>
        <w:t>3) соблюдение организациями, индивидуальными предпринимателями, крестьянскими (фермерскими) хозяйствами обязательных требований к декларированию объема розничной продажи алкогольной и спиртосодержащей продукции, объема собранного винограда для производства винодельческой продукции.</w:t>
      </w:r>
    </w:p>
    <w:p>
      <w:pPr>
        <w:pStyle w:val="Normal"/>
        <w:spacing w:lineRule="auto" w:line="240"/>
        <w:ind w:firstLine="540"/>
        <w:rPr>
          <w:sz w:val="27"/>
          <w:szCs w:val="27"/>
        </w:rPr>
      </w:pPr>
      <w:r>
        <w:rPr>
          <w:sz w:val="27"/>
          <w:szCs w:val="27"/>
        </w:rPr>
        <w:t>Полномочия по осуществлению регионального государственного контроля (надзора) в области розничной продажи алкогольной и спиртосодержащей продукции у органов местного самоуправления отсутствуют, но в соответствии с Федеральными законами 171-ФЗ, от 27 июля 2010 года № 210-ФЗ «Об организации предоставления государственных и муниципальных услуг», постановлением Правительства Челябинской области от 22.06.2022 № 359-П «Об административном регламенте предоставлнния государственной услуги «Лицензирование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производителями винодельческой продукции)» органы местного самоуправления предоставляют в лицензионный орган сведения о нахождении (не нахождении) торговых объектов в границах прилегающих территорий, указанных в подпункте 10 пункта 2 статьи 16 Федерального закона № 171-ФЗ.</w:t>
      </w:r>
    </w:p>
    <w:p>
      <w:pPr>
        <w:pStyle w:val="Normal"/>
        <w:spacing w:lineRule="auto" w:line="240"/>
        <w:ind w:firstLine="540"/>
        <w:rPr>
          <w:sz w:val="27"/>
          <w:szCs w:val="27"/>
        </w:rPr>
      </w:pPr>
      <w:r>
        <w:rPr>
          <w:sz w:val="27"/>
          <w:szCs w:val="27"/>
        </w:rPr>
        <w:t>Пунктом 8 статьи 16 Федерального закона № 171-ФЗ, определено, что границы прилегающих территорий, на которых не допускается розничная продажа алкогольной продукции, определяются органами местного самоуправления муниципальных районов и городских округов в соответствии с правилами, установленными Правительством Российской Федерации.</w:t>
      </w:r>
    </w:p>
    <w:p>
      <w:pPr>
        <w:pStyle w:val="Normal"/>
        <w:spacing w:lineRule="auto" w:line="240"/>
        <w:ind w:firstLine="540"/>
        <w:rPr>
          <w:sz w:val="27"/>
          <w:szCs w:val="27"/>
        </w:rPr>
      </w:pPr>
      <w:r>
        <w:rPr>
          <w:sz w:val="27"/>
          <w:szCs w:val="27"/>
        </w:rPr>
        <w:t xml:space="preserve">Постановлением Правительства Российской Федерации от 23.12.2020  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(далее — Постановление Правительства РФ № 2220) органы местного самоуправления наделены полномочиями по разработке нормативных правовых актов, устанавливающих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питания. </w:t>
      </w:r>
    </w:p>
    <w:p>
      <w:pPr>
        <w:pStyle w:val="Normal"/>
        <w:spacing w:lineRule="auto" w:line="240"/>
        <w:ind w:firstLine="5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ind w:firstLine="540"/>
        <w:jc w:val="center"/>
        <w:rPr>
          <w:sz w:val="27"/>
          <w:szCs w:val="27"/>
        </w:rPr>
      </w:pPr>
      <w:r>
        <w:rPr>
          <w:sz w:val="27"/>
          <w:szCs w:val="27"/>
        </w:rPr>
        <w:t>2. Общая характеристика оцениваемых обязательных требований</w:t>
      </w:r>
    </w:p>
    <w:p>
      <w:pPr>
        <w:pStyle w:val="Normal"/>
        <w:spacing w:lineRule="auto" w:line="240"/>
        <w:ind w:firstLine="540"/>
        <w:jc w:val="center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Style20"/>
        <w:spacing w:lineRule="auto" w:line="240" w:before="0" w:after="0"/>
        <w:ind w:firstLine="709" w:left="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2.1. Информация достижения целей введенного правового регулирования</w:t>
      </w:r>
    </w:p>
    <w:p>
      <w:pPr>
        <w:pStyle w:val="Style20"/>
        <w:spacing w:lineRule="auto" w:line="240" w:before="0" w:after="0"/>
        <w:ind w:firstLine="709" w:left="0"/>
        <w:rPr>
          <w:b w:val="false"/>
          <w:bCs w:val="false"/>
          <w:sz w:val="27"/>
          <w:szCs w:val="27"/>
        </w:rPr>
      </w:pPr>
      <w:r>
        <w:rPr>
          <w:b w:val="false"/>
          <w:bCs w:val="false"/>
          <w:sz w:val="27"/>
          <w:szCs w:val="27"/>
        </w:rPr>
      </w:r>
    </w:p>
    <w:p>
      <w:pPr>
        <w:pStyle w:val="Style20"/>
        <w:spacing w:lineRule="auto" w:line="240" w:before="0" w:after="0"/>
        <w:ind w:firstLine="709" w:left="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 xml:space="preserve">Пункт 1.1 постановления № 3697-п принят в соответствии со статьей 5.1 Закона № 51-ЗО. Целью принятия является социальная </w:t>
      </w:r>
      <w:r>
        <w:rPr>
          <w:rFonts w:eastAsia="Times New Roman"/>
          <w:b w:val="false"/>
          <w:bCs w:val="false"/>
          <w:sz w:val="27"/>
          <w:szCs w:val="27"/>
          <w:lang w:eastAsia="ru-RU"/>
        </w:rPr>
        <w:t>напряженность среди большого числа населения области связанной с работой объектов общественного питания в многоквартирных жилых домах.</w:t>
      </w:r>
    </w:p>
    <w:p>
      <w:pPr>
        <w:pStyle w:val="Normal"/>
        <w:shd w:val="clear" w:color="auto" w:fill="FFFFFF"/>
        <w:spacing w:lineRule="auto" w:line="240"/>
        <w:ind w:firstLine="708"/>
        <w:rPr>
          <w:sz w:val="27"/>
          <w:szCs w:val="27"/>
        </w:rPr>
      </w:pPr>
      <w:r>
        <w:rPr>
          <w:rFonts w:eastAsia="Times New Roman"/>
          <w:sz w:val="27"/>
          <w:szCs w:val="27"/>
          <w:lang w:eastAsia="ru-RU"/>
        </w:rPr>
        <w:t>Как правило, данные заведения представляют собой псевдо общепит и располагаются на первых этажах многоквартирных домов. Кроме того, данные заведения чаще всего становятся источником шума, причиной нарушения общественного порядка, хулиганства на территории, прилегающей к многоквартирному дому, что в значительной мере нарушает права и законные интересы жильцов таких домов.</w:t>
      </w:r>
    </w:p>
    <w:p>
      <w:pPr>
        <w:pStyle w:val="Normal"/>
        <w:shd w:val="clear" w:color="auto" w:fill="FFFFFF"/>
        <w:spacing w:lineRule="auto" w:line="240"/>
        <w:ind w:firstLine="708"/>
        <w:rPr>
          <w:sz w:val="27"/>
          <w:szCs w:val="27"/>
        </w:rPr>
      </w:pPr>
      <w:r>
        <w:rPr>
          <w:rFonts w:eastAsia="Times New Roman"/>
          <w:sz w:val="27"/>
          <w:szCs w:val="27"/>
          <w:lang w:eastAsia="ru-RU"/>
        </w:rPr>
        <w:t xml:space="preserve">С целью борьбы с подобного рода заведениями в 2020 году в Федеральный закон от 22.11.1995 г. № 171-ФЗ внесены изменения в части установления минимально допустимой площади зала обслуживания посетителей не менее 20 квадратных метров (п. 4.1 ст. 16 Федерального закона №171-ФЗ), </w:t>
      </w:r>
      <w:r>
        <w:rPr>
          <w:sz w:val="27"/>
          <w:szCs w:val="27"/>
        </w:rPr>
        <w:t xml:space="preserve">Законом Челябинской области от 04.06.2020 г. № 164-ЗО «О внесении изменений в Закон Челябинской области «О государственном регулировании производства и оборота этилового спирта, алкогольной и спиртосодержащей продукции на территории Челябинской области»                         с целью защиты нравственности, здоровья прав и законных интересов граждан, </w:t>
      </w:r>
      <w:r>
        <w:rPr>
          <w:rFonts w:eastAsia="Times New Roman"/>
          <w:sz w:val="27"/>
          <w:szCs w:val="27"/>
          <w:lang w:eastAsia="ru-RU"/>
        </w:rPr>
        <w:t>площадь зала обслуживания посетителей установлена в размере не менее 40 квадратных метров.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Постановлением администрации Копейского городского округа от 29 октября 2014 года № 3697-п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установлена площадь зала обслуживания посетителей в размере не менее 40 квадратных метров.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Постановление № 3697-п разработано и утверждено в соответствии с Постановлением Правительства РФ № 2220.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  <w:t>Указанные нормативные правовые акты обеспечивают возможность существования общества и государства, при котором учитываются интересы как отдельных представителей общества, например, хозяйствующих субъектов, осуществляющих предпринимательскую деятельность, так и права и интересы граждан.</w:t>
      </w:r>
    </w:p>
    <w:p>
      <w:pPr>
        <w:pStyle w:val="Normal"/>
        <w:shd w:val="clear" w:color="auto" w:fill="FFFFFF"/>
        <w:spacing w:lineRule="auto" w:line="240"/>
        <w:ind w:hanging="0"/>
        <w:jc w:val="left"/>
        <w:rPr>
          <w:rFonts w:ascii="Times New Roman" w:hAnsi="Times New Roman" w:cs="YS Text"/>
          <w:sz w:val="27"/>
          <w:szCs w:val="27"/>
        </w:rPr>
      </w:pPr>
      <w:r>
        <w:rPr>
          <w:rFonts w:cs="YS Text"/>
          <w:sz w:val="27"/>
          <w:szCs w:val="27"/>
        </w:rPr>
      </w:r>
    </w:p>
    <w:p>
      <w:pPr>
        <w:pStyle w:val="Style20"/>
        <w:spacing w:lineRule="auto" w:line="240"/>
        <w:ind w:firstLine="709" w:left="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2.2. Характеристика и перечень содержащихся в акте (актах) обязательных требований: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7"/>
          <w:szCs w:val="27"/>
        </w:rPr>
        <w:t>Пункт 1.1 постановления № 3697-п</w:t>
      </w:r>
      <w:r>
        <w:rPr>
          <w:b/>
          <w:sz w:val="27"/>
          <w:szCs w:val="27"/>
        </w:rPr>
        <w:t xml:space="preserve"> - </w:t>
      </w:r>
      <w:r>
        <w:rPr>
          <w:sz w:val="27"/>
          <w:szCs w:val="27"/>
        </w:rPr>
        <w:t xml:space="preserve">дополнительно к ограничениям розничной продажи алкогольной продукции, установленным Федеральным </w:t>
      </w:r>
      <w:hyperlink r:id="rId4">
        <w:r>
          <w:rPr>
            <w:sz w:val="27"/>
            <w:szCs w:val="27"/>
          </w:rPr>
          <w:t>законом</w:t>
        </w:r>
      </w:hyperlink>
      <w:r>
        <w:rPr>
          <w:sz w:val="27"/>
          <w:szCs w:val="27"/>
        </w:rPr>
        <w:t xml:space="preserve"> № 171-ФЗ запрещается 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имеющих зал обслуживания посетителей общей площадью менее 40 квадратных метров.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Понятие многоквартирного дома дано в части 6 статьи 15 Жилищного кодекса Российской Федерации от 29.12.2004 г. № 188-ФЗ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В ГОСТ 30389-2013 «Межгосударственный стандарт. Услуги общественного питания. Предприятия общественного питания. Классификация и общие требования» раскрыто определение объектов общественного питания.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7"/>
          <w:szCs w:val="27"/>
        </w:rPr>
        <w:t xml:space="preserve">Понятие «площадь зала обслуживания» дано в абзаце 2 пункта 4.1 статьи 16 Федерального </w:t>
      </w:r>
      <w:hyperlink r:id="rId5">
        <w:r>
          <w:rPr>
            <w:sz w:val="27"/>
            <w:szCs w:val="27"/>
          </w:rPr>
          <w:t>закона</w:t>
        </w:r>
      </w:hyperlink>
      <w:r>
        <w:rPr>
          <w:sz w:val="27"/>
          <w:szCs w:val="27"/>
        </w:rPr>
        <w:t xml:space="preserve"> № 171-ФЗ.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Обязательное требование – запрет розничной продажи алкогольной продукции на объектах общественного питания, расположенных в многоквартирных домах и (или) на прилегающих к ним территориях, имеющих зал обслуживания посетителей общей площадью менее 40 квадратных метров.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Пункт 4 постановления № 3697-п - в качестве способа расчета расстояния от организаций и (или) объектов, указанных в подпунктах 1 и 2 пункта 1 настоящего постановления, за исключением организаций и объектов, размещенных в комплексах и офисных зданиях с предприятиями торговли и общественного питания, до границ прилегающих территорий выбран метод определения окружности радиусом, указанным в пункте 5 настоящего постановления с учетом конкретных особенностей местности и застройки: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1)</w:t>
        <w:tab/>
        <w:t>при наличии ограждения земельного участка – от входа для посетителей на обособленную территорию;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2)</w:t>
        <w:tab/>
        <w:t xml:space="preserve">при отсутствии ограждения земельного участка – от входа для посетителей в здание (строение, сооружение), в котором расположены указанные организации и (или) объекты.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Пункт 4.1 постановления № 3697-п - при размещении организаций и объектов в комплексах и офисных зданиях с предприятиями торговли и общественного питания в качестве способа расчета расстояния выбрано кратчайшее расстояние от входа (выхода) посетителей в организации и объекты до входа (выхода) посетителей в предприятие торговли и общественного питания. Значение расстояния при размещении организаций и объектов в комплексах и офисных зданиях с предприятиями торговли, общественного питания – 30 метров.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Пункт 5 постановления № 3697-п - значение радиуса, используемого для расчета расстояния от организаций и (или) объектов, указанных в пункте 1 настоящего постановления, за исключением медицинских организаций и других организаций, осуществляющих медицинскую деятельность, входящих в частную систему здравоохранения, организаций и объектов, указанных в подпунктах 3, 4, 5, пункта 1 и в абзаце первом пункта 1.1 настоящего постановления, до границ прилегающих территорий в целях установления запрета на розничную продажу алкогольной продукции в стационарных торговых объектах, должно находиться в пределах: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- при наличии у организаций и объектов ограждений – 30 метров;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- при отсутствии у организаций и объектов ограждений – 50 метров;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Значение радиуса, используемого для расчета расстояния от медицинских организаций и других организаций, осуществляющих медицинскую деятельность, входящих в частную систему здравоохранения, до границ прилегающих территорий в целях установления запрета на розничную продажу алкогольной продукции в стационарных торговых объектах, должно находиться в пределах:</w:t>
      </w:r>
    </w:p>
    <w:p>
      <w:pPr>
        <w:pStyle w:val="Normal"/>
        <w:spacing w:lineRule="auto" w:line="240"/>
        <w:ind w:firstLine="540"/>
        <w:rPr>
          <w:sz w:val="27"/>
          <w:szCs w:val="27"/>
        </w:rPr>
      </w:pPr>
      <w:r>
        <w:rPr>
          <w:sz w:val="27"/>
          <w:szCs w:val="27"/>
        </w:rPr>
        <w:t>- при наличии у организаций и объектов ограждений – 10 метров;</w:t>
      </w:r>
    </w:p>
    <w:p>
      <w:pPr>
        <w:pStyle w:val="Normal"/>
        <w:spacing w:lineRule="auto" w:line="240"/>
        <w:ind w:firstLine="540"/>
        <w:rPr>
          <w:sz w:val="27"/>
          <w:szCs w:val="27"/>
        </w:rPr>
      </w:pPr>
      <w:r>
        <w:rPr>
          <w:sz w:val="27"/>
          <w:szCs w:val="27"/>
        </w:rPr>
        <w:t>- при отсутствии у организаций и объектов ограждений – 15 метров»;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Пункт 5.1 постановления № 3697-п - значение расстояния, используемого для расчета расстояния от организаций и (или) объектов, указанных в подпунктах 3, 4, 5, пункта 1 и в абзаце первом пункта 1.1 настоящего постановления, должно находиться в пределах: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1) к вокзалам и аэропортам – 100 метров;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2) к местам нахождения источников повышенной опасности, объектов военного назначения – 500 метров;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3) к боевым позициям войск, полигонам, узлам связи, воинским частям, специальным технологическим комплексам, зданиям и сооружениям, предназначенным для управления войсками, размещения и хранения военной техники, военного имущества и оборудования, испытания вооружения, а также к зданиям и сооружениям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 – 100 метров;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4) к многоквартирным домам - 15 метров.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Пункт 5.2 постановления № 3697-п - минимальные значения расстояний, указанные в пункте 5.1 настоящего постановления, от организаций и объектов до границ прилегающих территорий, на которых не допускается розничная продажа алкогольной продукции, определяются: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1) при наличии у организаций и объектов ограждений – как равноудаленное расстояние от любой точки границ ограждений;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2) при отсутствии у организаций и объектов ограждений – как равноудаленное расстояние от входа (выхода) организаций и объектов;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3) к многоквартирным домам: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при наличии ограждения - как периметр по внешним крайним точкам ограждения;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при отсутствии ограждения - как периметр по внешним крайним точкам многоквартирного дом.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Из смысла вышеуказанных обязательных требований следует, что организации и индивидуальные предприниматели, планирующие или осуществляющие розничную продажу алкогольной продукции, должны обладать познаниями в определенной сфере, чтобы соотнести торговый объект и (или) объект общественного питания, в котором планируется или осуществляется деятельность по розничной продаже алкогольной продукции и (или) розничная продажа алкогольной продукции при оказании услуг общественного питания, с ограничениями, закрепленными в обязательных требованиях.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2.3. Сведения о полномочиях на установление соответствующих обязательных требований</w:t>
      </w:r>
    </w:p>
    <w:p>
      <w:pPr>
        <w:pStyle w:val="Normal"/>
        <w:spacing w:lineRule="auto" w:line="2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numPr>
          <w:ilvl w:val="0"/>
          <w:numId w:val="0"/>
        </w:numPr>
        <w:spacing w:lineRule="auto" w:line="240"/>
        <w:ind w:firstLine="708" w:left="0"/>
        <w:outlineLvl w:val="0"/>
        <w:rPr>
          <w:sz w:val="27"/>
          <w:szCs w:val="27"/>
        </w:rPr>
      </w:pPr>
      <w:r>
        <w:rPr>
          <w:rFonts w:eastAsia="Calibri"/>
          <w:sz w:val="27"/>
          <w:szCs w:val="27"/>
        </w:rPr>
        <w:t xml:space="preserve">В соответствии с </w:t>
      </w:r>
      <w:r>
        <w:rPr>
          <w:sz w:val="27"/>
          <w:szCs w:val="27"/>
        </w:rPr>
        <w:t xml:space="preserve">абзацем 3 </w:t>
      </w:r>
      <w:r>
        <w:rPr>
          <w:rFonts w:eastAsia="Calibri"/>
          <w:sz w:val="27"/>
          <w:szCs w:val="27"/>
        </w:rPr>
        <w:t>пункт</w:t>
      </w:r>
      <w:r>
        <w:rPr>
          <w:sz w:val="27"/>
          <w:szCs w:val="27"/>
        </w:rPr>
        <w:t>а</w:t>
      </w:r>
      <w:r>
        <w:rPr>
          <w:rFonts w:eastAsia="Calibri"/>
          <w:sz w:val="27"/>
          <w:szCs w:val="27"/>
        </w:rPr>
        <w:t xml:space="preserve"> 4.</w:t>
      </w:r>
      <w:r>
        <w:rPr>
          <w:sz w:val="27"/>
          <w:szCs w:val="27"/>
        </w:rPr>
        <w:t>1</w:t>
      </w:r>
      <w:r>
        <w:rPr>
          <w:rFonts w:eastAsia="Calibri"/>
          <w:sz w:val="27"/>
          <w:szCs w:val="27"/>
        </w:rPr>
        <w:t xml:space="preserve"> </w:t>
      </w:r>
      <w:r>
        <w:rPr>
          <w:sz w:val="27"/>
          <w:szCs w:val="27"/>
        </w:rPr>
        <w:t xml:space="preserve">статьи 16 </w:t>
      </w:r>
      <w:r>
        <w:rPr>
          <w:rFonts w:eastAsia="Calibri"/>
          <w:sz w:val="27"/>
          <w:szCs w:val="27"/>
        </w:rPr>
        <w:t xml:space="preserve">Федерального закона </w:t>
      </w:r>
      <w:r>
        <w:rPr>
          <w:sz w:val="27"/>
          <w:szCs w:val="27"/>
        </w:rPr>
        <w:t xml:space="preserve"> </w:t>
      </w:r>
      <w:r>
        <w:rPr>
          <w:rFonts w:eastAsia="Calibri"/>
          <w:sz w:val="27"/>
          <w:szCs w:val="27"/>
        </w:rPr>
        <w:t xml:space="preserve">№ 171-ФЗ, субъекты Российской Федерации вправе устанавливать законом субъекта Российской Федерации </w:t>
      </w:r>
      <w:r>
        <w:rPr>
          <w:sz w:val="27"/>
          <w:szCs w:val="27"/>
        </w:rPr>
        <w:t>дополнительные ограничения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 (в части увеличения размера площади зала обслуживания посетителей в объектах общественного питания), в том числе полный запрет на розничную продажу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территориях.</w:t>
      </w:r>
    </w:p>
    <w:p>
      <w:pPr>
        <w:pStyle w:val="Normal"/>
        <w:spacing w:lineRule="auto" w:line="240"/>
        <w:ind w:firstLine="540"/>
        <w:rPr>
          <w:sz w:val="27"/>
          <w:szCs w:val="27"/>
        </w:rPr>
      </w:pPr>
      <w:r>
        <w:rPr>
          <w:rFonts w:eastAsia="Calibri"/>
          <w:sz w:val="27"/>
          <w:szCs w:val="27"/>
        </w:rPr>
        <w:t>стать</w:t>
      </w:r>
      <w:r>
        <w:rPr>
          <w:sz w:val="27"/>
          <w:szCs w:val="27"/>
        </w:rPr>
        <w:t>ей 5</w:t>
      </w:r>
      <w:r>
        <w:rPr>
          <w:rFonts w:eastAsia="Calibri"/>
          <w:sz w:val="27"/>
          <w:szCs w:val="27"/>
        </w:rPr>
        <w:t>-</w:t>
      </w:r>
      <w:r>
        <w:rPr>
          <w:sz w:val="27"/>
          <w:szCs w:val="27"/>
        </w:rPr>
        <w:t xml:space="preserve">1 </w:t>
      </w:r>
      <w:r>
        <w:rPr>
          <w:rFonts w:eastAsia="Calibri"/>
          <w:sz w:val="27"/>
          <w:szCs w:val="27"/>
        </w:rPr>
        <w:t>Закон</w:t>
      </w:r>
      <w:r>
        <w:rPr>
          <w:sz w:val="27"/>
          <w:szCs w:val="27"/>
        </w:rPr>
        <w:t>а</w:t>
      </w:r>
      <w:r>
        <w:rPr>
          <w:rFonts w:eastAsia="Calibri"/>
          <w:sz w:val="27"/>
          <w:szCs w:val="27"/>
        </w:rPr>
        <w:t xml:space="preserve"> Челябинской области </w:t>
      </w:r>
      <w:r>
        <w:rPr>
          <w:sz w:val="27"/>
          <w:szCs w:val="27"/>
        </w:rPr>
        <w:t xml:space="preserve"> </w:t>
      </w:r>
      <w:r>
        <w:rPr>
          <w:rFonts w:eastAsia="Calibri"/>
          <w:sz w:val="27"/>
          <w:szCs w:val="27"/>
        </w:rPr>
        <w:t xml:space="preserve">от 21 сентября 1998 года № 51-ЗО </w:t>
      </w:r>
      <w:r>
        <w:rPr>
          <w:sz w:val="27"/>
          <w:szCs w:val="27"/>
        </w:rPr>
        <w:t>введены дополнительные ограничения розничной продажи алкогольной продукции.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7"/>
          <w:szCs w:val="27"/>
        </w:rPr>
      </w:pPr>
      <w:r>
        <w:rPr>
          <w:b w:val="false"/>
          <w:bCs w:val="false"/>
          <w:i w:val="false"/>
          <w:iCs w:val="false"/>
          <w:sz w:val="27"/>
          <w:szCs w:val="27"/>
        </w:rPr>
        <w:t xml:space="preserve">Постановлением Правительства Российской Федерации от 23.12.2020     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(далее — Постановление Правительства РФ № 2220) органы местного самоуправления наделены полномочиями по разработке нормативных правовых актов, устанавливающих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питания. </w:t>
      </w:r>
    </w:p>
    <w:p>
      <w:pPr>
        <w:pStyle w:val="Normal"/>
        <w:spacing w:lineRule="auto" w:line="240"/>
        <w:ind w:firstLine="5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 xml:space="preserve">2.4. Срок действия акта (актов) и их отдельных положений (при наличии) </w:t>
      </w:r>
    </w:p>
    <w:p>
      <w:pPr>
        <w:pStyle w:val="Normal"/>
        <w:spacing w:lineRule="auto" w:line="2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rFonts w:eastAsia="Calibri"/>
          <w:sz w:val="27"/>
          <w:szCs w:val="27"/>
        </w:rPr>
        <w:t xml:space="preserve">Постановление № 3697-п  - </w:t>
      </w:r>
      <w:r>
        <w:rPr>
          <w:sz w:val="27"/>
          <w:szCs w:val="27"/>
        </w:rPr>
        <w:t>не предусмотрен срок его действия или срок действия его отдельных положений;</w:t>
      </w:r>
    </w:p>
    <w:p>
      <w:pPr>
        <w:pStyle w:val="Normal"/>
        <w:spacing w:lineRule="auto" w:line="2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jc w:val="center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3. Результаты оценки достижения целей введения обязательных требований, содержащихся в акте (актах)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pacing w:lineRule="auto" w:line="240"/>
        <w:jc w:val="both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3.1. Информация о динамике ведения предпринимательской деятельности в соответствующей сфере общественных отношений в период действия обязательных требований, применение которых является предметом оценки</w:t>
      </w:r>
    </w:p>
    <w:p>
      <w:pPr>
        <w:pStyle w:val="Normal"/>
        <w:spacing w:lineRule="auto" w:line="240"/>
        <w:jc w:val="left"/>
        <w:rPr>
          <w:rFonts w:ascii="Times New Roman" w:hAnsi="Times New Roman"/>
          <w:sz w:val="27"/>
          <w:szCs w:val="27"/>
          <w:highlight w:val="lightGray"/>
        </w:rPr>
      </w:pPr>
      <w:r>
        <w:rPr>
          <w:sz w:val="27"/>
          <w:szCs w:val="27"/>
          <w:highlight w:val="lightGray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  <w:t>Наличие рассматриваемых обязательных требований не оказывает существенного влияния на предпринимательскую деятельность в сфере розничной продажи алкогольной продукции, в том числе при оказании услуг общественного питания.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  <w:t>В настоящее время в городском округе 414 продовольственных магазинов и объектов общественного питания. На основании соответствующей лицензии розничную продажу алкогольной продукции и розничную продажу алкогольной продукции при оказании услуг общественного питания осуществляют 224 объекта</w:t>
      </w:r>
      <w:r>
        <w:rPr>
          <w:rFonts w:eastAsia="Calibri"/>
          <w:sz w:val="27"/>
          <w:szCs w:val="27"/>
        </w:rPr>
        <w:t xml:space="preserve">. Кроме того индивидуальные предприниматели и юридические лица </w:t>
      </w:r>
      <w:r>
        <w:rPr>
          <w:sz w:val="27"/>
          <w:szCs w:val="27"/>
        </w:rPr>
        <w:t xml:space="preserve">осуществляют </w:t>
      </w:r>
      <w:r>
        <w:rPr>
          <w:rFonts w:eastAsia="Calibri"/>
          <w:sz w:val="27"/>
          <w:szCs w:val="27"/>
        </w:rPr>
        <w:t>деятельность по розничной продаже пива, пивных напитков, сидра, пуаре и медовухи</w:t>
      </w:r>
      <w:r>
        <w:rPr>
          <w:rFonts w:eastAsia="Calibri"/>
          <w:color w:val="000000"/>
          <w:sz w:val="27"/>
          <w:szCs w:val="27"/>
          <w:shd w:fill="FFFFFF" w:val="clear"/>
        </w:rPr>
        <w:t xml:space="preserve"> и розничной продажи пива, пивных напитков, сидра, пуаре, медовухи при оказании услуг общественного питания</w:t>
      </w:r>
      <w:r>
        <w:rPr>
          <w:rFonts w:eastAsia="Calibri"/>
          <w:sz w:val="27"/>
          <w:szCs w:val="27"/>
        </w:rPr>
        <w:t xml:space="preserve">. Их количество </w:t>
      </w:r>
      <w:r>
        <w:rPr>
          <w:sz w:val="27"/>
          <w:szCs w:val="27"/>
        </w:rPr>
        <w:t>не являются постоянной величиной, количество участников розничного алкогольного рынка постоянно меняется по различным причинам (экономическая и социальная составляющие, изменение законодательства, личные мотивы и др.). При этом город не испытывает дефицита в торговых объектах и предприятиях общественного питания. В 2024 году объектов торговли и объектов общественного питания было 399 из них 192 имели лицензию на розничную продажу алкогольной продукции, а в 2025 году цифры приведены выше.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  <w:t xml:space="preserve">Кроме рассматриваемых обязательных требований, в сфере розничной продажи алкогольной продукции обязательные требования установлены нормативными правовыми актами федерального уровня, например, статьей 16 Федерального закона </w:t>
      </w:r>
      <w:r>
        <w:rPr>
          <w:sz w:val="27"/>
          <w:szCs w:val="27"/>
          <w:shd w:fill="FFFFFF" w:val="clear"/>
        </w:rPr>
        <w:t>от 22 ноября 1995 года  № 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  <w:shd w:fill="FFFFFF" w:val="clear"/>
        </w:rPr>
        <w:t>Значительная часть организаций и индивидуальных предпринимателей, осуществляющих розничную продажу алкогольной продукции (за исключением федеральных торговых сетей), относятся к субъектам малого и среднего предпринимательства.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  <w:shd w:fill="FFFFFF" w:val="clear"/>
        </w:rPr>
        <w:t xml:space="preserve">Рассматриваемые обязательные требования не несут каких-либо отрицательных социально-экономических последствий для субъектов малого и среднего предпринимательства: не приводят к сокращению рабочих мест; к увеличению налогооблагаемой базы; к снижению товарооборота; к иным затратам, связанным с ведением деятельности в сфере розничной продажи алкогольной продукции. </w:t>
      </w:r>
    </w:p>
    <w:p>
      <w:pPr>
        <w:pStyle w:val="Normal"/>
        <w:spacing w:lineRule="auto" w:line="2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 xml:space="preserve">3.2. Достижение целей введения обязательных требований </w:t>
      </w:r>
    </w:p>
    <w:p>
      <w:pPr>
        <w:pStyle w:val="Normal"/>
        <w:spacing w:lineRule="auto" w:line="2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  <w:t xml:space="preserve">Цели принятия постановления № 3697-п достигаются: не допускается бесконтрольное открытие и функционирование торговых объектов, реализующих алкогольную продукцию, и предприятий общественного питания в многоквартирных домах. </w:t>
      </w:r>
    </w:p>
    <w:p>
      <w:pPr>
        <w:pStyle w:val="Normal"/>
        <w:shd w:val="clear" w:color="auto" w:fill="FFFFFF"/>
        <w:spacing w:lineRule="auto" w:line="240"/>
        <w:ind w:firstLine="708"/>
        <w:rPr>
          <w:sz w:val="27"/>
          <w:szCs w:val="27"/>
        </w:rPr>
      </w:pPr>
      <w:r>
        <w:rPr>
          <w:rFonts w:eastAsia="Times New Roman"/>
          <w:sz w:val="27"/>
          <w:szCs w:val="27"/>
          <w:lang w:eastAsia="ru-RU"/>
        </w:rPr>
        <w:t>После вступления Закона Челябинской области  № 164-ЗО «</w:t>
      </w:r>
      <w:r>
        <w:rPr>
          <w:sz w:val="27"/>
          <w:szCs w:val="27"/>
        </w:rPr>
        <w:t>О внесении изменений в Закон Челябинской области «О государственном регулировании производства и оборота этилового спирта, алкогольной и спиртосодержащей продукции на территории Челябинской области»</w:t>
      </w:r>
      <w:r>
        <w:rPr>
          <w:rFonts w:eastAsia="Times New Roman"/>
          <w:sz w:val="27"/>
          <w:szCs w:val="27"/>
          <w:lang w:eastAsia="ru-RU"/>
        </w:rPr>
        <w:t xml:space="preserve"> многие из </w:t>
      </w:r>
      <w:r>
        <w:rPr>
          <w:sz w:val="27"/>
          <w:szCs w:val="27"/>
        </w:rPr>
        <w:t>предприятий общественного питания</w:t>
      </w:r>
      <w:r>
        <w:rPr>
          <w:rFonts w:eastAsia="Times New Roman"/>
          <w:sz w:val="27"/>
          <w:szCs w:val="27"/>
          <w:lang w:eastAsia="ru-RU"/>
        </w:rPr>
        <w:t xml:space="preserve"> изменили свой формат работы на магазин розничной продажи алкогольной продукции, тем самым сохранилось </w:t>
      </w:r>
      <w:r>
        <w:rPr>
          <w:sz w:val="27"/>
          <w:szCs w:val="27"/>
        </w:rPr>
        <w:t>количество участников розничного алкогольного рынка и защищены права и интересы граждан.</w:t>
      </w:r>
    </w:p>
    <w:p>
      <w:pPr>
        <w:pStyle w:val="Normal"/>
        <w:spacing w:lineRule="auto" w:line="240"/>
        <w:rPr>
          <w:rFonts w:ascii="Times New Roman" w:hAnsi="Times New Roman"/>
          <w:sz w:val="27"/>
          <w:szCs w:val="27"/>
          <w:highlight w:val="cyan"/>
        </w:rPr>
      </w:pPr>
      <w:r>
        <w:rPr>
          <w:sz w:val="27"/>
          <w:szCs w:val="27"/>
          <w:highlight w:val="cyan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3.3. Сведения об уровне соблюдения обязательных требований, установленных актом (актами), в том числе данные о привлечении к ответственности за нарушения  указанных требований, о типовых и массовых нарушениях указанных требований</w:t>
      </w:r>
    </w:p>
    <w:p>
      <w:pPr>
        <w:pStyle w:val="Normal"/>
        <w:spacing w:lineRule="auto" w:line="2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  <w:t xml:space="preserve">За несоблюдение рассматриваемых обязательных требований предусмотрена административная ответственность по части 3 статьи 14.16 Кодекса Российской Федерации об административных правонарушениях (далее – КоАП РФ). </w:t>
      </w:r>
    </w:p>
    <w:p>
      <w:pPr>
        <w:pStyle w:val="Normal"/>
        <w:shd w:val="clear" w:color="auto" w:fill="FFFFFF"/>
        <w:spacing w:lineRule="auto" w:line="240"/>
        <w:ind w:firstLine="708"/>
        <w:rPr>
          <w:sz w:val="27"/>
          <w:szCs w:val="27"/>
        </w:rPr>
      </w:pPr>
      <w:r>
        <w:rPr>
          <w:rFonts w:eastAsia="Times New Roman"/>
          <w:color w:val="1A1A1A"/>
          <w:sz w:val="27"/>
          <w:szCs w:val="27"/>
          <w:lang w:eastAsia="ru-RU"/>
        </w:rPr>
        <w:t>Установление постановлением Правительства РФ № 336 моратория затрудняет проведение контрольно-надзорных мероприятий при осуществлении регионального государственного контроля (надзора) в области розничной продажи алкогольной и спиртосодержащей продукции. Т</w:t>
      </w:r>
      <w:r>
        <w:rPr>
          <w:sz w:val="27"/>
          <w:szCs w:val="27"/>
        </w:rPr>
        <w:t xml:space="preserve">ем не менее, в 2024 году и текущем 2025 фактов реализации алкогольной продукции с нарушением указанной выше нормы не выявлено, что позволяет сделать вывод, что организации и индивидуальные предприниматели, осуществляющие розничную продажу алкогольной продукции, обладают познаниями в определенной сфере, а также о действенных мерах проведенной профилактической работы по снижению </w:t>
      </w:r>
      <w:r>
        <w:rPr>
          <w:rFonts w:eastAsia="Times New Roman"/>
          <w:sz w:val="27"/>
          <w:szCs w:val="27"/>
          <w:lang w:eastAsia="ru-RU"/>
        </w:rPr>
        <w:t>рисков</w:t>
      </w:r>
      <w:r>
        <w:rPr>
          <w:sz w:val="27"/>
          <w:szCs w:val="27"/>
        </w:rPr>
        <w:t xml:space="preserve"> причинения вреда охраняемым законом ценностям и соблюдении </w:t>
      </w:r>
      <w:r>
        <w:rPr>
          <w:rFonts w:eastAsia="Times New Roman"/>
          <w:sz w:val="27"/>
          <w:szCs w:val="27"/>
          <w:lang w:eastAsia="ru-RU"/>
        </w:rPr>
        <w:t xml:space="preserve">подконтрольными субъектами, </w:t>
      </w:r>
      <w:r>
        <w:rPr>
          <w:sz w:val="27"/>
          <w:szCs w:val="27"/>
        </w:rPr>
        <w:t>осуществляющими деятельность по розничной продажи алкогольной и спиртосодержащей продукции, требований законодательства Российской Федерации и законодательства Челябинской области.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i/>
          <w:i/>
          <w:sz w:val="27"/>
          <w:szCs w:val="27"/>
        </w:rPr>
      </w:pPr>
      <w:r>
        <w:rPr>
          <w:b/>
          <w:i/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 xml:space="preserve">3.4. Количество и содержание обращений, связанных с применением обязательных требований акта (актов) 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  <w:t>Письменных обращений контролируемых лиц (организаций и индивидуальных предпринимателей) по вопросам применения обязательных требований, установленных вышеперечисленными нормативными правовыми актами, в администрацию городского округа не поступало.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  <w:t>Контролируемые лица получают полную информацию об обязательных требованиях при личном обращении в администрацию городского округа и при проведении администрацией городского округа публичных мероприятий.</w:t>
      </w:r>
    </w:p>
    <w:p>
      <w:pPr>
        <w:pStyle w:val="Normal"/>
        <w:spacing w:lineRule="auto" w:line="2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b w:val="false"/>
          <w:bCs w:val="false"/>
          <w:i w:val="false"/>
          <w:iCs w:val="false"/>
          <w:sz w:val="27"/>
          <w:szCs w:val="27"/>
        </w:rPr>
        <w:t xml:space="preserve">3.5. Количество и содержание вступивших в законную силу судебных актов по делам об оспаривании акта (актов) 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i w:val="false"/>
          <w:iCs w:val="false"/>
          <w:sz w:val="27"/>
          <w:szCs w:val="27"/>
        </w:rPr>
        <w:t>Постановление № 3697-п и его отдельные положения в судебном порядке не оспаривались.</w:t>
      </w:r>
    </w:p>
    <w:p>
      <w:pPr>
        <w:pStyle w:val="Normal"/>
        <w:spacing w:lineRule="auto" w:line="240"/>
        <w:rPr>
          <w:rFonts w:ascii="Times New Roman" w:hAnsi="Times New Roman"/>
          <w:b/>
          <w:i w:val="false"/>
          <w:i w:val="false"/>
          <w:iCs w:val="false"/>
          <w:sz w:val="27"/>
          <w:szCs w:val="27"/>
        </w:rPr>
      </w:pPr>
      <w:r>
        <w:rPr>
          <w:b/>
          <w:i w:val="false"/>
          <w:iCs w:val="false"/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3.6. Оценка эффективности введения обязательных требований (оценка издержек (фактических расходов) субъектов предпринимательской и иной деятельности, связанных с необходимостью соблюдения обязательного требования)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(в том числе данные о привлечении к ответственности за нарушение обязательных требований, о типовых и массовых нарушениях обязательных требований; количество и анализ содержания поступивших в уполномоченный орган обращений контролируемых лиц, связанных с применением обязательных требований; иные сведения, которые позволяют оценить применение обязательных требований и достижение целей их установления)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  <w:t xml:space="preserve">Оценить размер расходов потенциальных адресатов предлагаемого правового регулирования, осуществляющих розничную продажу алкогольной продукции и розничную продажу алкогольной продукции при оказании услуг общественного питания, а также в объектах общественного питания, расположенных в многоквартирных домах и (или) на прилегающих к ним территориях, с площадью зала обслуживания посетителей до 40 кв. м, которые потребуются для расширения площади торгового зала и переформатирования бизнеса в торговый объект не представляется возможным в связи с различными характеристиками объектов общественного питания. 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  <w:t>Вместе с тем, в случае увеличения площади зала обслуживания посетителей, в дальнейшем возможно повышение рентабельности в связи с привлечением большего количества посетителей.</w:t>
      </w:r>
    </w:p>
    <w:p>
      <w:pPr>
        <w:pStyle w:val="Normal"/>
        <w:shd w:val="clear" w:color="auto" w:fill="FFFFFF"/>
        <w:spacing w:lineRule="auto" w:line="240"/>
        <w:ind w:firstLine="708"/>
        <w:rPr>
          <w:sz w:val="27"/>
          <w:szCs w:val="27"/>
        </w:rPr>
      </w:pPr>
      <w:r>
        <w:rPr>
          <w:rFonts w:eastAsia="Times New Roman"/>
          <w:sz w:val="27"/>
          <w:szCs w:val="27"/>
          <w:lang w:eastAsia="ru-RU"/>
        </w:rPr>
        <w:t>Снижение численности потенциальных адресатов предлагаемого правового регулирования не прогнозируется.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  <w:shd w:fill="FFFFFF" w:val="clear"/>
        </w:rPr>
        <w:t xml:space="preserve">Введение вышеуказанных обязательных требований является эффективным, избыточных требований не выявлено. Целесообразно дальнейшее применение введенных обязательных требований. </w:t>
      </w:r>
    </w:p>
    <w:p>
      <w:pPr>
        <w:pStyle w:val="Normal"/>
        <w:spacing w:lineRule="auto" w:line="2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 xml:space="preserve">3.7. Выявленные избыточные обязательные требования (при наличии) </w:t>
      </w:r>
      <w:r>
        <w:rPr>
          <w:b/>
          <w:sz w:val="27"/>
          <w:szCs w:val="27"/>
        </w:rPr>
        <w:t xml:space="preserve">– </w:t>
      </w:r>
      <w:r>
        <w:rPr>
          <w:sz w:val="27"/>
          <w:szCs w:val="27"/>
          <w:shd w:fill="FFFFFF" w:val="clear"/>
        </w:rPr>
        <w:t>избыточных требований не выявлено.</w:t>
      </w:r>
      <w:r>
        <w:rPr>
          <w:b/>
          <w:sz w:val="27"/>
          <w:szCs w:val="27"/>
        </w:rPr>
        <w:t xml:space="preserve"> </w:t>
      </w:r>
    </w:p>
    <w:p>
      <w:pPr>
        <w:pStyle w:val="Normal"/>
        <w:spacing w:lineRule="auto" w:line="2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jc w:val="center"/>
        <w:rPr>
          <w:sz w:val="27"/>
          <w:szCs w:val="27"/>
        </w:rPr>
      </w:pPr>
      <w:r>
        <w:rPr>
          <w:b/>
          <w:sz w:val="27"/>
          <w:szCs w:val="27"/>
        </w:rPr>
        <w:t>4. Выводы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4.1 Вывод об учете принципов установления и оценки применения обязательных требований, установленных статьей 4 Федерального закона    № 247-ФЗ</w:t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i/>
          <w:sz w:val="27"/>
          <w:szCs w:val="27"/>
        </w:rPr>
        <w:t xml:space="preserve"> </w:t>
      </w:r>
      <w:r>
        <w:rPr>
          <w:sz w:val="27"/>
          <w:szCs w:val="27"/>
        </w:rPr>
        <w:t>В ходе проведенного анализа установлено, что обязательные требования установлены с соблюдением принципов установления и оценки применения обязательных требований, установленных Федеральным законом от 31.07.2020 г. № 247 – ФЗ «Об обязательных требованиях в Российской Федерации».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rPr>
          <w:sz w:val="27"/>
          <w:szCs w:val="27"/>
        </w:rPr>
      </w:pPr>
      <w:r>
        <w:rPr>
          <w:b w:val="false"/>
          <w:bCs w:val="false"/>
          <w:sz w:val="27"/>
          <w:szCs w:val="27"/>
        </w:rPr>
        <w:t>4.2 Вывод о достижении или недостижении целей введенного правового регулирования и предложения о проведении процедуры ОФВ в отношении постановления № 3697-п</w:t>
      </w:r>
    </w:p>
    <w:p>
      <w:pPr>
        <w:pStyle w:val="Normal"/>
        <w:spacing w:lineRule="auto" w:line="240"/>
        <w:ind w:firstLine="540"/>
        <w:rPr>
          <w:rFonts w:ascii="Times New Roman" w:hAnsi="Times New Roman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40"/>
        <w:ind w:firstLine="540"/>
        <w:rPr>
          <w:sz w:val="27"/>
          <w:szCs w:val="27"/>
        </w:rPr>
      </w:pPr>
      <w:r>
        <w:rPr>
          <w:sz w:val="27"/>
          <w:szCs w:val="27"/>
        </w:rPr>
        <w:t>Вывод о достижении или недостижении целей введенного правового регулирования будет сделан по результатам публичных консультаций.</w:t>
      </w:r>
    </w:p>
    <w:p>
      <w:pPr>
        <w:pStyle w:val="Style20"/>
        <w:keepNext w:val="true"/>
        <w:keepLines/>
        <w:widowControl w:val="false"/>
        <w:suppressAutoHyphens w:val="true"/>
        <w:bidi w:val="0"/>
        <w:spacing w:lineRule="auto" w:line="240" w:before="140" w:after="280"/>
        <w:ind w:hanging="57" w:left="0" w:right="0"/>
        <w:jc w:val="both"/>
        <w:rPr>
          <w:rFonts w:ascii="Times New Roman" w:hAnsi="Times New Roman"/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sectPr>
      <w:headerReference w:type="default" r:id="rId6"/>
      <w:type w:val="nextPage"/>
      <w:pgSz w:w="11906" w:h="16838"/>
      <w:pgMar w:left="1701" w:right="845" w:gutter="0" w:header="709" w:top="1418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032695"/>
    </w:sdtPr>
    <w:sdtContent>
      <w:p>
        <w:pPr>
          <w:pStyle w:val="Header"/>
          <w:ind w:hanging="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37551"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c53c5"/>
    <w:pPr>
      <w:keepNext w:val="true"/>
      <w:keepLines/>
      <w:spacing w:lineRule="auto" w:line="240" w:before="720" w:after="480"/>
      <w:ind w:hanging="0"/>
      <w:jc w:val="center"/>
      <w:outlineLvl w:val="1"/>
    </w:pPr>
    <w:rPr>
      <w:rFonts w:eastAsia="" w:eastAsiaTheme="majorEastAsia"/>
      <w:b/>
      <w:bCs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146cf"/>
    <w:rPr>
      <w:color w:themeColor="hyperlink" w:val="0000FF"/>
      <w:u w:val="single"/>
    </w:rPr>
  </w:style>
  <w:style w:type="character" w:styleId="Style13" w:customStyle="1">
    <w:name w:val="Подраздел документа Знак"/>
    <w:basedOn w:val="DefaultParagraphFont"/>
    <w:link w:val="Style20"/>
    <w:qFormat/>
    <w:rsid w:val="007f159e"/>
    <w:rPr>
      <w:rFonts w:ascii="Times New Roman" w:hAnsi="Times New Roman" w:cs="Times New Roman"/>
      <w:b/>
      <w:sz w:val="28"/>
      <w:szCs w:val="28"/>
    </w:rPr>
  </w:style>
  <w:style w:type="character" w:styleId="2" w:customStyle="1">
    <w:name w:val="Заголовок 2 Знак"/>
    <w:basedOn w:val="DefaultParagraphFont"/>
    <w:uiPriority w:val="9"/>
    <w:qFormat/>
    <w:rsid w:val="008c53c5"/>
    <w:rPr>
      <w:rFonts w:ascii="Times New Roman" w:hAnsi="Times New Roman" w:eastAsia="" w:cs="Times New Roman" w:eastAsiaTheme="majorEastAsia"/>
      <w:b/>
      <w:bCs/>
      <w:sz w:val="28"/>
      <w:szCs w:val="26"/>
    </w:rPr>
  </w:style>
  <w:style w:type="character" w:styleId="Style14" w:customStyle="1">
    <w:name w:val="Раздел документа Знак"/>
    <w:basedOn w:val="Style13"/>
    <w:link w:val="Style21"/>
    <w:qFormat/>
    <w:rsid w:val="007f159e"/>
    <w:rPr>
      <w:rFonts w:ascii="Times New Roman" w:hAnsi="Times New Roman" w:cs="Times New Roman"/>
      <w:b/>
      <w:sz w:val="28"/>
      <w:szCs w:val="28"/>
    </w:rPr>
  </w:style>
  <w:style w:type="character" w:styleId="Style15" w:customStyle="1">
    <w:name w:val="Подпись под документом Знак"/>
    <w:basedOn w:val="DefaultParagraphFont"/>
    <w:link w:val="Style22"/>
    <w:qFormat/>
    <w:rsid w:val="00251f0d"/>
    <w:rPr>
      <w:rFonts w:ascii="Times New Roman" w:hAnsi="Times New Roman" w:cs="Times New Roman"/>
      <w:sz w:val="28"/>
      <w:szCs w:val="28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924f52"/>
    <w:rPr>
      <w:rFonts w:ascii="Times New Roman" w:hAnsi="Times New Roman" w:cs="Times New Roman"/>
      <w:sz w:val="28"/>
      <w:szCs w:val="28"/>
    </w:rPr>
  </w:style>
  <w:style w:type="character" w:styleId="Style17" w:customStyle="1">
    <w:name w:val="Нижний колонтитул Знак"/>
    <w:basedOn w:val="DefaultParagraphFont"/>
    <w:uiPriority w:val="99"/>
    <w:semiHidden/>
    <w:qFormat/>
    <w:rsid w:val="00924f52"/>
    <w:rPr>
      <w:rFonts w:ascii="Times New Roman" w:hAnsi="Times New Roman" w:cs="Times New Roman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236911"/>
    <w:rPr>
      <w:color w:themeColor="followedHyperlink" w:val="800080"/>
      <w:u w:val="single"/>
    </w:rPr>
  </w:style>
  <w:style w:type="character" w:styleId="Emphasis">
    <w:name w:val="Emphasis"/>
    <w:basedOn w:val="DefaultParagraphFont"/>
    <w:uiPriority w:val="20"/>
    <w:qFormat/>
    <w:rsid w:val="00ad7457"/>
    <w:rPr>
      <w:i/>
      <w:i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 w:customStyle="1">
    <w:name w:val="Подраздел документа"/>
    <w:basedOn w:val="Normal"/>
    <w:link w:val="Style13"/>
    <w:qFormat/>
    <w:rsid w:val="007f159e"/>
    <w:pPr>
      <w:keepNext w:val="true"/>
      <w:keepLines/>
      <w:widowControl w:val="false"/>
      <w:spacing w:lineRule="auto" w:line="240" w:before="140" w:after="280"/>
      <w:ind w:hanging="567" w:left="1276"/>
    </w:pPr>
    <w:rPr>
      <w:b/>
    </w:rPr>
  </w:style>
  <w:style w:type="paragraph" w:styleId="Style21" w:customStyle="1">
    <w:name w:val="Раздел документа"/>
    <w:basedOn w:val="Style20"/>
    <w:link w:val="Style14"/>
    <w:qFormat/>
    <w:rsid w:val="007f159e"/>
    <w:pPr>
      <w:ind w:hanging="284" w:left="993"/>
    </w:pPr>
    <w:rPr/>
  </w:style>
  <w:style w:type="paragraph" w:styleId="Style22" w:customStyle="1">
    <w:name w:val="Подпись под документом"/>
    <w:basedOn w:val="Normal"/>
    <w:link w:val="Style15"/>
    <w:qFormat/>
    <w:rsid w:val="00251f0d"/>
    <w:pPr>
      <w:keepLines/>
      <w:tabs>
        <w:tab w:val="clear" w:pos="708"/>
        <w:tab w:val="right" w:pos="9356" w:leader="none"/>
      </w:tabs>
      <w:spacing w:lineRule="auto" w:line="240" w:before="720" w:after="0"/>
      <w:ind w:hanging="0"/>
      <w:jc w:val="left"/>
    </w:pPr>
    <w:rPr/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rsid w:val="00924f52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7"/>
    <w:uiPriority w:val="99"/>
    <w:semiHidden/>
    <w:unhideWhenUsed/>
    <w:rsid w:val="00924f52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NormalWeb">
    <w:name w:val="Normal (Web)"/>
    <w:basedOn w:val="Normal"/>
    <w:uiPriority w:val="99"/>
    <w:semiHidden/>
    <w:unhideWhenUsed/>
    <w:qFormat/>
    <w:rsid w:val="00225403"/>
    <w:pPr>
      <w:spacing w:lineRule="auto" w:line="240"/>
      <w:ind w:hanging="0"/>
      <w:jc w:val="left"/>
    </w:pPr>
    <w:rPr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b35e69"/>
    <w:pPr>
      <w:spacing w:before="0" w:after="0"/>
      <w:ind w:left="720"/>
      <w:contextualSpacing/>
    </w:pPr>
    <w:rPr/>
  </w:style>
  <w:style w:type="paragraph" w:styleId="10692" w:customStyle="1">
    <w:name w:val="10692"/>
    <w:basedOn w:val="Normal"/>
    <w:qFormat/>
    <w:rsid w:val="006a106d"/>
    <w:pPr>
      <w:spacing w:lineRule="auto" w:line="240" w:beforeAutospacing="1" w:afterAutospacing="1"/>
      <w:ind w:hanging="0"/>
      <w:jc w:val="left"/>
    </w:pPr>
    <w:rPr>
      <w:rFonts w:eastAsia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7a09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70029&amp;dst=100813" TargetMode="External"/><Relationship Id="rId3" Type="http://schemas.openxmlformats.org/officeDocument/2006/relationships/hyperlink" Target="https://login.consultant.ru/link/?req=doc&amp;base=LAW&amp;n=477374&amp;dst=100166" TargetMode="External"/><Relationship Id="rId4" Type="http://schemas.openxmlformats.org/officeDocument/2006/relationships/hyperlink" Target="https://login.consultant.ru/link/?req=doc&amp;base=LAW&amp;n=470029" TargetMode="External"/><Relationship Id="rId5" Type="http://schemas.openxmlformats.org/officeDocument/2006/relationships/hyperlink" Target="https://login.consultant.ru/link/?req=doc&amp;base=LAW&amp;n=470029" TargetMode="External"/><Relationship Id="rId6" Type="http://schemas.openxmlformats.org/officeDocument/2006/relationships/header" Target="head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973A6-23DA-4E22-B350-E708ADED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5646</TotalTime>
  <Application>LibreOffice/7.6.0.3$Linux_X86_64 LibreOffice_project/60$Build-3</Application>
  <AppVersion>15.0000</AppVersion>
  <Pages>10</Pages>
  <Words>2842</Words>
  <Characters>20986</Characters>
  <CharactersWithSpaces>23822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2024-10-03T12:27:00Z</dcterms:created>
  <dc:creator>Немчанинов</dc:creator>
  <dc:description/>
  <dc:language>ru-RU</dc:language>
  <cp:lastModifiedBy/>
  <cp:lastPrinted>2025-10-01T16:51:17Z</cp:lastPrinted>
  <dcterms:modified xsi:type="dcterms:W3CDTF">2025-10-02T13:17:53Z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