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Отчет о проведении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оценки регулирующего воздействия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sz w:val="26"/>
          <w:szCs w:val="26"/>
        </w:rPr>
        <w:t>проекта постановления администрации Копейского городского округа «О внесении изменений и дополнений в постановление администрации Копейского городского округа от 24.11.2021 № 2791-п»</w:t>
      </w:r>
    </w:p>
    <w:tbl>
      <w:tblPr>
        <w:tblStyle w:val="a3"/>
        <w:tblW w:w="962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3"/>
        <w:gridCol w:w="8779"/>
        <w:gridCol w:w="51"/>
      </w:tblGrid>
      <w:tr>
        <w:trPr>
          <w:trHeight w:val="621" w:hRule="atLeast"/>
        </w:trPr>
        <w:tc>
          <w:tcPr>
            <w:tcW w:w="9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-14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-14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 Общая информация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1.1.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Орган исполнительной власти – разработчик проекта нормативного правового акта (далее - разработчик):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отдел по инвестиционной политике, поддержке и развитию предпринимательства управления экономического развития администрации Копейского городского округа.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1.2.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Вид и наименование проекта нормативного правового акта: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i/>
                <w:kern w:val="0"/>
                <w:sz w:val="26"/>
                <w:szCs w:val="26"/>
                <w:lang w:val="ru-RU" w:eastAsia="en-US" w:bidi="ar-SA"/>
              </w:rPr>
              <w:t>проект постановления администрации Копейского городского округа «О внесении изменений и дополнений в постановление администрации Копейского городского округа от 24.11.2021 № 2791-п» (далее – проект постановления)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1.3.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Основание для разработки проекта нормативного правового акта: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Федеральный закон от 01.04.2020 № 381-ФЗ «Об основах государственного регулирования торговой деятельности в Российской Федерации» (далее – 381-ФЗ); распоряжение Правительства Российской Федерации от 30.01.2021 № 208-р «О рекомендациях органам исполнительной власти субъектов РФ и органам местного самоуправления по вопросу о новых возможностях для розничного сбыта товаров».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1.4.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Предполагаемая дата вступления в силу проекта акта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: февраль 2025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 xml:space="preserve"> года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1.5.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Контактная информация исполнителя разработчика: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1.5.1.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Ф.И.О.: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Воробьева Елена Анатольевна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1.5.2.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Должность: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1.5.3.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Тел:  8 (35139) 40-150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1.5.4.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Адрес электронной почты: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en-US" w:eastAsia="en-US" w:bidi="ar-SA"/>
              </w:rPr>
              <w:t>torg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@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en-US" w:eastAsia="en-US" w:bidi="ar-SA"/>
              </w:rPr>
              <w:t>akgo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74.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en-US" w:eastAsia="en-US" w:bidi="ar-SA"/>
              </w:rPr>
              <w:t>ru</w:t>
            </w:r>
          </w:p>
        </w:tc>
      </w:tr>
    </w:tbl>
    <w:p>
      <w:pPr>
        <w:pStyle w:val="ListParagraph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Степень регулирующего воздействия положений проекта акта</w:t>
      </w:r>
    </w:p>
    <w:tbl>
      <w:tblPr>
        <w:tblStyle w:val="a3"/>
        <w:tblW w:w="96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99"/>
        <w:gridCol w:w="7174"/>
        <w:gridCol w:w="1532"/>
      </w:tblGrid>
      <w:tr>
        <w:trPr/>
        <w:tc>
          <w:tcPr>
            <w:tcW w:w="8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2.1.</w:t>
            </w:r>
          </w:p>
        </w:tc>
        <w:tc>
          <w:tcPr>
            <w:tcW w:w="717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Степень регулирующего воздействия положений проекта акта:</w:t>
            </w:r>
          </w:p>
        </w:tc>
        <w:tc>
          <w:tcPr>
            <w:tcW w:w="153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низкая</w:t>
            </w:r>
          </w:p>
        </w:tc>
      </w:tr>
      <w:tr>
        <w:trPr/>
        <w:tc>
          <w:tcPr>
            <w:tcW w:w="8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2.2.</w:t>
            </w:r>
          </w:p>
        </w:tc>
        <w:tc>
          <w:tcPr>
            <w:tcW w:w="870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Обоснование отнесения к определенной степени регулирующего воздействия: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Проектом постановления определена методика расчета платы за использование торговых мест для размещения объектов развозной торговли.</w:t>
            </w:r>
          </w:p>
        </w:tc>
      </w:tr>
    </w:tbl>
    <w:p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spacing w:lineRule="auto" w:line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1"/>
        <w:gridCol w:w="8898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3.1.</w:t>
            </w:r>
          </w:p>
        </w:tc>
        <w:tc>
          <w:tcPr>
            <w:tcW w:w="8898" w:type="dxa"/>
            <w:tcBorders/>
          </w:tcPr>
          <w:p>
            <w:pPr>
              <w:pStyle w:val="NormalWeb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17"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bidi w:val="0"/>
              <w:spacing w:lineRule="auto" w:line="240" w:before="0" w:after="0"/>
              <w:ind w:firstLine="283" w:left="227" w:right="227"/>
              <w:contextualSpacing/>
              <w:jc w:val="both"/>
              <w:rPr>
                <w:rFonts w:ascii="Times New Roman" w:hAnsi="Times New Roman" w:eastAsia="Times New Roman"/>
                <w:i/>
                <w:i/>
                <w:sz w:val="26"/>
                <w:szCs w:val="26"/>
              </w:rPr>
            </w:pPr>
            <w:r>
              <w:rPr>
                <w:rFonts w:eastAsia="Times New Roman" w:cs="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отсутствие методика расчета платы за использование торговых мест для размещения объектов развозной торговли;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firstLine="397" w:left="113" w:right="113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расширение возможностей сбыта продукции отечественных производителей товаров, увеличение доходов и роста благосостояния граждан;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firstLine="397" w:left="113" w:right="113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возможность предоставлять торговые места для организации развозной торговли индивидуальным предпринимателям и юридическим лицам.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3.2.</w:t>
            </w:r>
          </w:p>
        </w:tc>
        <w:tc>
          <w:tcPr>
            <w:tcW w:w="88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Негативные эффекты, возникающие в связи с наличием проблемы: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1) отсутствие возможности предоставлять торговые места для организации развозной торговли индивидуальным предпринимателям и юридическим лицам.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3.3.</w:t>
            </w:r>
          </w:p>
        </w:tc>
        <w:tc>
          <w:tcPr>
            <w:tcW w:w="88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Информация о возникновении, выявлении проблемы и мерах, принятых ранее для ее решения, достигнутых результатах и затраченных ресурсах: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6"/>
                <w:szCs w:val="26"/>
                <w:lang w:val="ru-RU" w:eastAsia="en-US" w:bidi="ar-SA"/>
              </w:rPr>
              <w:t>отсутствует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3.4.</w:t>
            </w:r>
          </w:p>
        </w:tc>
        <w:tc>
          <w:tcPr>
            <w:tcW w:w="88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условий, при которых проблема может быть решена в целом без вмешательства со стороны органов местного самоуправления: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проблема не может быть решена без вмешательства органа местного самоуправления, так как торговые места находятся в распоряжении муниципального образования «Копейский городской округ».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3.5.</w:t>
            </w:r>
          </w:p>
        </w:tc>
        <w:tc>
          <w:tcPr>
            <w:tcW w:w="8898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8532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Источники данных:</w:t>
            </w:r>
          </w:p>
          <w:p>
            <w:pPr>
              <w:pStyle w:val="Normal"/>
              <w:widowControl/>
              <w:tabs>
                <w:tab w:val="clear" w:pos="708"/>
                <w:tab w:val="right" w:pos="8532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Анализ опыта иных муниципальных образований.</w:t>
            </w:r>
          </w:p>
        </w:tc>
      </w:tr>
    </w:tbl>
    <w:p>
      <w:pPr>
        <w:pStyle w:val="ListParagraph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4.Цели регулирования</w:t>
      </w:r>
    </w:p>
    <w:p>
      <w:pPr>
        <w:pStyle w:val="ListParagraph"/>
        <w:spacing w:before="0"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7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27"/>
        <w:gridCol w:w="4567"/>
      </w:tblGrid>
      <w:tr>
        <w:trPr>
          <w:trHeight w:val="838" w:hRule="atLeast"/>
        </w:trPr>
        <w:tc>
          <w:tcPr>
            <w:tcW w:w="52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4.1. Описание целей предлагаемого регулирования, их соотношение с проблемой:</w:t>
            </w:r>
          </w:p>
        </w:tc>
        <w:tc>
          <w:tcPr>
            <w:tcW w:w="456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-108" w:right="-108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4.2. Установленные сроки достижения                                               целей предполагаемого регулирования:</w:t>
            </w:r>
          </w:p>
        </w:tc>
      </w:tr>
      <w:tr>
        <w:trPr>
          <w:trHeight w:val="838" w:hRule="atLeast"/>
        </w:trPr>
        <w:tc>
          <w:tcPr>
            <w:tcW w:w="5227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firstLine="360" w:left="0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Возможность предоставления индивидуальным предпринимателям и юридическим лицам торговых мест для организации развозной торговли</w:t>
            </w:r>
          </w:p>
        </w:tc>
        <w:tc>
          <w:tcPr>
            <w:tcW w:w="456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08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После утверждения НПА на постоянной основе</w:t>
            </w:r>
            <w:bookmarkStart w:id="0" w:name="_GoBack"/>
            <w:bookmarkEnd w:id="0"/>
          </w:p>
        </w:tc>
      </w:tr>
      <w:tr>
        <w:trPr>
          <w:trHeight w:val="838" w:hRule="atLeast"/>
        </w:trPr>
        <w:tc>
          <w:tcPr>
            <w:tcW w:w="5227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firstLine="342" w:left="18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расширение возможностей сбыта продукции отечественных производителей товаров, увеличение доходов и роста благосостояния граждан</w:t>
            </w:r>
          </w:p>
        </w:tc>
        <w:tc>
          <w:tcPr>
            <w:tcW w:w="456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08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на постоянной основе после принятия НПА</w:t>
            </w:r>
          </w:p>
        </w:tc>
      </w:tr>
    </w:tbl>
    <w:p>
      <w:pPr>
        <w:pStyle w:val="ListParagraph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5. Описание предлагаемого регулирования и иных возможных способов решения проблемы</w:t>
      </w:r>
    </w:p>
    <w:tbl>
      <w:tblPr>
        <w:tblStyle w:val="a3"/>
        <w:tblW w:w="97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08"/>
        <w:gridCol w:w="8754"/>
      </w:tblGrid>
      <w:tr>
        <w:trPr/>
        <w:tc>
          <w:tcPr>
            <w:tcW w:w="100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5.1.</w:t>
            </w:r>
          </w:p>
        </w:tc>
        <w:tc>
          <w:tcPr>
            <w:tcW w:w="87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предлагаемого способа решения проблемы и преодоление связанных  с ней негативных эффектов: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–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наличие Методика расчета платы позволит предоставить торговые места.</w:t>
            </w:r>
          </w:p>
        </w:tc>
      </w:tr>
      <w:tr>
        <w:trPr/>
        <w:tc>
          <w:tcPr>
            <w:tcW w:w="100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5.2.</w:t>
            </w:r>
          </w:p>
        </w:tc>
        <w:tc>
          <w:tcPr>
            <w:tcW w:w="87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иные варианты решения проблемы отсутствуют.</w:t>
            </w:r>
          </w:p>
        </w:tc>
      </w:tr>
      <w:tr>
        <w:trPr/>
        <w:tc>
          <w:tcPr>
            <w:tcW w:w="100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5.3.</w:t>
            </w:r>
          </w:p>
        </w:tc>
        <w:tc>
          <w:tcPr>
            <w:tcW w:w="875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выбора предлагаемого способа решения проблемы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: предлагаемый вариант решения проблемы выбран в соответствии с законодательством.</w:t>
            </w:r>
          </w:p>
        </w:tc>
      </w:tr>
      <w:tr>
        <w:trPr/>
        <w:tc>
          <w:tcPr>
            <w:tcW w:w="100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5.4.</w:t>
            </w:r>
          </w:p>
        </w:tc>
        <w:tc>
          <w:tcPr>
            <w:tcW w:w="875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Иная информация о предлагаемом способе решения проблемы: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отсутствует</w:t>
            </w:r>
          </w:p>
        </w:tc>
      </w:tr>
    </w:tbl>
    <w:p>
      <w:pPr>
        <w:pStyle w:val="ListParagraph"/>
        <w:ind w:hanging="142" w:left="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spacing w:lineRule="auto" w:line="240"/>
        <w:ind w:hanging="142" w:left="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6.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9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06"/>
        <w:gridCol w:w="5078"/>
        <w:gridCol w:w="4235"/>
      </w:tblGrid>
      <w:tr>
        <w:trPr/>
        <w:tc>
          <w:tcPr>
            <w:tcW w:w="5684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6.1. Группа участников отношений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23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6.2. Оценка количества участников отношений</w:t>
            </w:r>
          </w:p>
        </w:tc>
      </w:tr>
      <w:tr>
        <w:trPr/>
        <w:tc>
          <w:tcPr>
            <w:tcW w:w="5684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Индивидуальные предприниматели, юридические лица.</w:t>
            </w:r>
          </w:p>
        </w:tc>
        <w:tc>
          <w:tcPr>
            <w:tcW w:w="423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По мере поступления заявлений на организацию развозной торговли на территории муниципального образования «Копейский городской округ»</w:t>
            </w:r>
          </w:p>
        </w:tc>
      </w:tr>
      <w:tr>
        <w:trPr/>
        <w:tc>
          <w:tcPr>
            <w:tcW w:w="5684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Администрация Копейского городского округа</w:t>
            </w:r>
          </w:p>
        </w:tc>
        <w:tc>
          <w:tcPr>
            <w:tcW w:w="423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6.3.</w:t>
            </w:r>
          </w:p>
        </w:tc>
        <w:tc>
          <w:tcPr>
            <w:tcW w:w="9313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Источники данных: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 xml:space="preserve"> поступающие заявления</w:t>
            </w:r>
          </w:p>
        </w:tc>
      </w:tr>
    </w:tbl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7. Новые, изменяемые и отменяемые функции, полномочия, обязанности и права областных органов и органов местного самоуправления, а также порядок их реализации</w:t>
      </w:r>
    </w:p>
    <w:tbl>
      <w:tblPr>
        <w:tblStyle w:val="a3"/>
        <w:tblW w:w="97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65"/>
        <w:gridCol w:w="3669"/>
        <w:gridCol w:w="3261"/>
      </w:tblGrid>
      <w:tr>
        <w:trPr/>
        <w:tc>
          <w:tcPr>
            <w:tcW w:w="286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7.1.</w:t>
            </w:r>
          </w:p>
        </w:tc>
        <w:tc>
          <w:tcPr>
            <w:tcW w:w="366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7.2.</w:t>
            </w:r>
          </w:p>
        </w:tc>
        <w:tc>
          <w:tcPr>
            <w:tcW w:w="32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7.3.</w:t>
            </w:r>
          </w:p>
        </w:tc>
      </w:tr>
      <w:tr>
        <w:trPr/>
        <w:tc>
          <w:tcPr>
            <w:tcW w:w="286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Наименование новых или изменения существующих функций, полномочий, обязанностей или прав</w:t>
            </w:r>
          </w:p>
        </w:tc>
        <w:tc>
          <w:tcPr>
            <w:tcW w:w="366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Порядок реализации</w:t>
            </w:r>
          </w:p>
        </w:tc>
        <w:tc>
          <w:tcPr>
            <w:tcW w:w="32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Оценка изменения трудозатрат и потребностей в иных ресурсах</w:t>
            </w:r>
          </w:p>
        </w:tc>
      </w:tr>
      <w:tr>
        <w:trPr/>
        <w:tc>
          <w:tcPr>
            <w:tcW w:w="28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Установлена плата за использование торговых мест</w:t>
            </w:r>
          </w:p>
        </w:tc>
        <w:tc>
          <w:tcPr>
            <w:tcW w:w="366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Согласно утвержденной Методики расчета платы</w:t>
            </w:r>
          </w:p>
        </w:tc>
        <w:tc>
          <w:tcPr>
            <w:tcW w:w="32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Трудозатраты и потребности в иных ресурсах отсутствуют</w:t>
            </w:r>
          </w:p>
        </w:tc>
      </w:tr>
    </w:tbl>
    <w:p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hanging="142" w:left="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8. Оценка соответствующих расходов (возможных поступлений) бюджетов бюджетной </w:t>
        <w:br/>
        <w:t>системы Российской Федерации</w:t>
      </w:r>
    </w:p>
    <w:p>
      <w:pPr>
        <w:pStyle w:val="ListParagraph"/>
        <w:spacing w:lineRule="auto" w:line="240" w:before="0" w:after="0"/>
        <w:ind w:firstLine="720"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Принятие нормативного правового акта выделения дополнительных ассигнований за счет средств бюджета городского округа не потребует. Расходы, связанные с опубликованием постановления, предусмотрены бюджетом городского округа.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Увеличение доходов в местный бюджет за счет оплаты торговых мест организаторами развозной торговли.</w:t>
      </w:r>
    </w:p>
    <w:p>
      <w:pPr>
        <w:pStyle w:val="ListParagraph"/>
        <w:spacing w:lineRule="auto" w:line="240" w:before="0" w:after="0"/>
        <w:ind w:firstLine="720"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9. Новые преимущества, а также обязанности для субъектов предпринимательской и иной деятельности или изменение содержания существующих обязанностей, а также порядок организации их исполнения</w:t>
      </w:r>
    </w:p>
    <w:tbl>
      <w:tblPr>
        <w:tblStyle w:val="a3"/>
        <w:tblW w:w="100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464"/>
        <w:gridCol w:w="3534"/>
        <w:gridCol w:w="4032"/>
      </w:tblGrid>
      <w:tr>
        <w:trPr/>
        <w:tc>
          <w:tcPr>
            <w:tcW w:w="24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9.1 Группа участников отношений</w:t>
            </w:r>
          </w:p>
        </w:tc>
        <w:tc>
          <w:tcPr>
            <w:tcW w:w="35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9.2 Описание новых преимуществ и обязанностей или изменения содержания существующих обязанностей</w:t>
            </w:r>
          </w:p>
        </w:tc>
        <w:tc>
          <w:tcPr>
            <w:tcW w:w="403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9.3 Порядок организации исполнения обязанностей</w:t>
            </w:r>
          </w:p>
        </w:tc>
      </w:tr>
      <w:tr>
        <w:trPr>
          <w:trHeight w:val="361" w:hRule="atLeast"/>
        </w:trPr>
        <w:tc>
          <w:tcPr>
            <w:tcW w:w="24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Индивидуальные предприниматели, юридические лица.</w:t>
            </w:r>
          </w:p>
        </w:tc>
        <w:tc>
          <w:tcPr>
            <w:tcW w:w="3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Обязанность: оплата торговых мест при организации развозной торговли</w:t>
            </w:r>
          </w:p>
        </w:tc>
        <w:tc>
          <w:tcPr>
            <w:tcW w:w="403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Своевременная оплата по предоставленным реквизитам</w:t>
            </w:r>
          </w:p>
        </w:tc>
      </w:tr>
    </w:tbl>
    <w:p>
      <w:pPr>
        <w:pStyle w:val="ListParagraph"/>
        <w:spacing w:lineRule="auto" w:line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 и ограничений</w:t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  <w:iCs/>
        </w:rPr>
      </w:pPr>
      <w:r>
        <w:rPr>
          <w:rFonts w:cs="Times New Roman" w:ascii="Times New Roman" w:hAnsi="Times New Roman"/>
          <w:i/>
          <w:iCs/>
          <w:sz w:val="26"/>
          <w:szCs w:val="26"/>
        </w:rPr>
        <w:t>Дополнительные расходы для хозяйствующих субъектов связаны с необходимостью оплаты торговых мест при их использовании. Доходы от полученной платы за торговое место от участников торговли.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ListParagraph"/>
        <w:spacing w:lineRule="auto" w:line="240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11.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</w:r>
    </w:p>
    <w:tbl>
      <w:tblPr>
        <w:tblStyle w:val="a3"/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751"/>
        <w:gridCol w:w="2355"/>
        <w:gridCol w:w="2391"/>
        <w:gridCol w:w="2252"/>
      </w:tblGrid>
      <w:tr>
        <w:trPr/>
        <w:tc>
          <w:tcPr>
            <w:tcW w:w="27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11.1.</w:t>
            </w:r>
          </w:p>
        </w:tc>
        <w:tc>
          <w:tcPr>
            <w:tcW w:w="235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11.2.</w:t>
            </w:r>
          </w:p>
        </w:tc>
        <w:tc>
          <w:tcPr>
            <w:tcW w:w="239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11.3.</w:t>
            </w:r>
          </w:p>
        </w:tc>
        <w:tc>
          <w:tcPr>
            <w:tcW w:w="225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11.4.</w:t>
            </w:r>
          </w:p>
        </w:tc>
      </w:tr>
      <w:tr>
        <w:trPr/>
        <w:tc>
          <w:tcPr>
            <w:tcW w:w="2751" w:type="dxa"/>
            <w:tcBorders/>
          </w:tcPr>
          <w:p>
            <w:pPr>
              <w:pStyle w:val="Title"/>
              <w:keepNext w:val="false"/>
              <w:widowControl/>
              <w:suppressAutoHyphens w:val="true"/>
              <w:ind w:hanging="1" w:left="34"/>
              <w:jc w:val="center"/>
              <w:rPr>
                <w:rFonts w:eastAsia="Calibri" w:eastAsiaTheme="minorHAnsi"/>
                <w:b w:val="false"/>
                <w:kern w:val="0"/>
                <w:sz w:val="26"/>
                <w:szCs w:val="26"/>
              </w:rPr>
            </w:pPr>
            <w:r>
              <w:rPr>
                <w:rFonts w:eastAsia="Calibri" w:eastAsiaTheme="minorHAnsi"/>
                <w:b w:val="false"/>
                <w:kern w:val="0"/>
                <w:sz w:val="26"/>
                <w:szCs w:val="26"/>
                <w:lang w:val="ru-RU" w:eastAsia="en-US" w:bidi="ar-SA"/>
              </w:rPr>
              <w:t>Основные риски решения проблемы предложенным способом и риски негативных последствий</w:t>
            </w:r>
          </w:p>
        </w:tc>
        <w:tc>
          <w:tcPr>
            <w:tcW w:w="2355" w:type="dxa"/>
            <w:tcBorders/>
          </w:tcPr>
          <w:p>
            <w:pPr>
              <w:pStyle w:val="Title"/>
              <w:keepNext w:val="false"/>
              <w:widowControl/>
              <w:suppressAutoHyphens w:val="true"/>
              <w:ind w:hanging="1" w:left="34"/>
              <w:jc w:val="center"/>
              <w:rPr>
                <w:rFonts w:eastAsia="Calibri" w:eastAsiaTheme="minorHAnsi"/>
                <w:b w:val="false"/>
                <w:kern w:val="0"/>
                <w:sz w:val="26"/>
                <w:szCs w:val="26"/>
              </w:rPr>
            </w:pPr>
            <w:r>
              <w:rPr>
                <w:rFonts w:eastAsia="Calibri" w:eastAsiaTheme="minorHAnsi"/>
                <w:b w:val="false"/>
                <w:kern w:val="0"/>
                <w:sz w:val="26"/>
                <w:szCs w:val="26"/>
                <w:lang w:val="ru-RU" w:eastAsia="en-US" w:bidi="ar-SA"/>
              </w:rPr>
              <w:t>Оценки вероятности наступления рисков</w:t>
            </w:r>
          </w:p>
        </w:tc>
        <w:tc>
          <w:tcPr>
            <w:tcW w:w="2391" w:type="dxa"/>
            <w:tcBorders/>
          </w:tcPr>
          <w:p>
            <w:pPr>
              <w:pStyle w:val="Title"/>
              <w:keepNext w:val="false"/>
              <w:widowControl/>
              <w:suppressAutoHyphens w:val="true"/>
              <w:ind w:hanging="1" w:left="34"/>
              <w:jc w:val="center"/>
              <w:rPr>
                <w:rFonts w:eastAsia="Calibri" w:eastAsiaTheme="minorHAnsi"/>
                <w:b w:val="false"/>
                <w:kern w:val="0"/>
                <w:sz w:val="26"/>
                <w:szCs w:val="26"/>
              </w:rPr>
            </w:pPr>
            <w:r>
              <w:rPr>
                <w:rFonts w:eastAsia="Calibri" w:eastAsiaTheme="minorHAnsi"/>
                <w:b w:val="false"/>
                <w:kern w:val="0"/>
                <w:sz w:val="26"/>
                <w:szCs w:val="26"/>
                <w:lang w:val="ru-RU" w:eastAsia="en-US" w:bidi="ar-SA"/>
              </w:rPr>
              <w:t>Методы контроля эффективности достижения цели по рискам</w:t>
            </w:r>
          </w:p>
        </w:tc>
        <w:tc>
          <w:tcPr>
            <w:tcW w:w="2252" w:type="dxa"/>
            <w:tcBorders/>
          </w:tcPr>
          <w:p>
            <w:pPr>
              <w:pStyle w:val="Title"/>
              <w:keepNext w:val="false"/>
              <w:widowControl/>
              <w:suppressAutoHyphens w:val="true"/>
              <w:ind w:hanging="1" w:left="34"/>
              <w:jc w:val="center"/>
              <w:rPr>
                <w:rFonts w:eastAsia="Calibri" w:eastAsiaTheme="minorHAnsi"/>
                <w:b w:val="false"/>
                <w:kern w:val="0"/>
                <w:sz w:val="26"/>
                <w:szCs w:val="26"/>
              </w:rPr>
            </w:pPr>
            <w:r>
              <w:rPr>
                <w:rFonts w:eastAsia="Calibri" w:eastAsiaTheme="minorHAnsi"/>
                <w:b w:val="false"/>
                <w:kern w:val="0"/>
                <w:sz w:val="26"/>
                <w:szCs w:val="26"/>
                <w:lang w:val="ru-RU" w:eastAsia="en-US" w:bidi="ar-SA"/>
              </w:rPr>
              <w:t>Степень контроля рисков</w:t>
            </w:r>
          </w:p>
        </w:tc>
      </w:tr>
      <w:tr>
        <w:trPr/>
        <w:tc>
          <w:tcPr>
            <w:tcW w:w="974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67"/>
              <w:jc w:val="both"/>
              <w:rPr>
                <w:b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Риски решения проблемы предложенным способом регулирования не выявлены. Контроль эффективности избранного варианта осуществляется методом текущего контроля.</w:t>
            </w:r>
          </w:p>
        </w:tc>
      </w:tr>
    </w:tbl>
    <w:p>
      <w:pPr>
        <w:pStyle w:val="Normal"/>
        <w:spacing w:lineRule="auto" w:line="240"/>
        <w:ind w:right="-14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 Необходимые для достижения заявленных целей регулирования организационно-технические, методологические, информационные и иные мероприятия</w:t>
      </w:r>
    </w:p>
    <w:tbl>
      <w:tblPr>
        <w:tblStyle w:val="a3"/>
        <w:tblW w:w="100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05"/>
        <w:gridCol w:w="1483"/>
        <w:gridCol w:w="1980"/>
        <w:gridCol w:w="1845"/>
        <w:gridCol w:w="1712"/>
        <w:gridCol w:w="1995"/>
      </w:tblGrid>
      <w:tr>
        <w:trPr/>
        <w:tc>
          <w:tcPr>
            <w:tcW w:w="2488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12.1.</w:t>
            </w:r>
          </w:p>
        </w:tc>
        <w:tc>
          <w:tcPr>
            <w:tcW w:w="198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12.2.</w:t>
            </w:r>
          </w:p>
        </w:tc>
        <w:tc>
          <w:tcPr>
            <w:tcW w:w="18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12.3.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12.4.</w:t>
            </w:r>
          </w:p>
        </w:tc>
        <w:tc>
          <w:tcPr>
            <w:tcW w:w="199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12.5.</w:t>
            </w:r>
          </w:p>
        </w:tc>
      </w:tr>
      <w:tr>
        <w:trPr/>
        <w:tc>
          <w:tcPr>
            <w:tcW w:w="2488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4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Мероприятия, необходимые для достижения целей регулирования</w:t>
            </w:r>
          </w:p>
        </w:tc>
        <w:tc>
          <w:tcPr>
            <w:tcW w:w="198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6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Сроки мероприятий</w:t>
            </w:r>
          </w:p>
        </w:tc>
        <w:tc>
          <w:tcPr>
            <w:tcW w:w="18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Объем финан-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сирования</w:t>
            </w:r>
          </w:p>
        </w:tc>
        <w:tc>
          <w:tcPr>
            <w:tcW w:w="199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Источники финансирования</w:t>
            </w:r>
          </w:p>
        </w:tc>
      </w:tr>
      <w:tr>
        <w:trPr/>
        <w:tc>
          <w:tcPr>
            <w:tcW w:w="2488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4"/>
              <w:contextualSpacing/>
              <w:jc w:val="left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Информационная поддержка: размещение постановления администрации Копейского городского округа на официальном сайте администрации Копейского городского округа</w:t>
            </w:r>
          </w:p>
        </w:tc>
        <w:tc>
          <w:tcPr>
            <w:tcW w:w="198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в течение 3 рабочих дней со дня подписания постановления</w:t>
            </w:r>
          </w:p>
        </w:tc>
        <w:tc>
          <w:tcPr>
            <w:tcW w:w="18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-</w:t>
            </w:r>
          </w:p>
        </w:tc>
        <w:tc>
          <w:tcPr>
            <w:tcW w:w="171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-</w:t>
            </w:r>
          </w:p>
        </w:tc>
        <w:tc>
          <w:tcPr>
            <w:tcW w:w="199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12.6.</w:t>
            </w:r>
          </w:p>
        </w:tc>
        <w:tc>
          <w:tcPr>
            <w:tcW w:w="9015" w:type="dxa"/>
            <w:gridSpan w:val="5"/>
            <w:tcBorders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0"/>
              <w:ind w:firstLine="170" w:left="113" w:right="227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расходы, связанные с опубликованием постановления, предусмотрены бюджетом городского округа.</w:t>
            </w:r>
          </w:p>
        </w:tc>
      </w:tr>
    </w:tbl>
    <w:p>
      <w:pPr>
        <w:pStyle w:val="ListParagraph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-142" w:right="-14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13. Описание методов контроля эффективности избранного способа достижения целей регулирования, индикативные показатели, программы мониторинга и иные способы (методы) оценки достижения заявленных целей регулирования</w:t>
      </w:r>
    </w:p>
    <w:p>
      <w:pPr>
        <w:pStyle w:val="ListParagraph"/>
        <w:ind w:firstLine="709" w:left="0" w:right="-143"/>
        <w:rPr>
          <w:i/>
          <w:i/>
          <w:iCs/>
        </w:rPr>
      </w:pPr>
      <w:r>
        <w:rPr>
          <w:rFonts w:cs="Times New Roman" w:ascii="Times New Roman" w:hAnsi="Times New Roman"/>
          <w:i/>
          <w:iCs/>
          <w:sz w:val="26"/>
          <w:szCs w:val="26"/>
        </w:rPr>
        <w:t>Контроль эффективности избранного варианта осуществляется методами текущего контроля.</w:t>
      </w:r>
    </w:p>
    <w:p>
      <w:pPr>
        <w:pStyle w:val="ListParagraph"/>
        <w:ind w:left="-142" w:right="-14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14. Справка о проведении публичных консультаций</w:t>
      </w:r>
    </w:p>
    <w:tbl>
      <w:tblPr>
        <w:tblStyle w:val="a3"/>
        <w:tblW w:w="1013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90"/>
        <w:gridCol w:w="3830"/>
        <w:gridCol w:w="5217"/>
      </w:tblGrid>
      <w:tr>
        <w:trPr/>
        <w:tc>
          <w:tcPr>
            <w:tcW w:w="109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14.1.</w:t>
            </w:r>
          </w:p>
        </w:tc>
        <w:tc>
          <w:tcPr>
            <w:tcW w:w="38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Полный электронный адрес размещения уведомления в информационно-телекоммуникационной сети «ИНТЕРНЕТ»</w:t>
            </w:r>
          </w:p>
        </w:tc>
        <w:tc>
          <w:tcPr>
            <w:tcW w:w="5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hyperlink r:id="rId2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https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://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www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akgo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74.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ru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/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about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/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otsenka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-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reguliruyushchego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-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vozdeystviya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php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090" w:type="dxa"/>
            <w:vMerge w:val="restart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14.2.</w:t>
            </w:r>
          </w:p>
        </w:tc>
        <w:tc>
          <w:tcPr>
            <w:tcW w:w="38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Срок, в течение которого разработчиком принимались предложения в связи с публичным обсуждением проекта акта: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090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Начало: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28.01.2025</w:t>
            </w:r>
          </w:p>
        </w:tc>
      </w:tr>
      <w:tr>
        <w:trPr/>
        <w:tc>
          <w:tcPr>
            <w:tcW w:w="1090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Окончание: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02.02.2025</w:t>
            </w:r>
          </w:p>
        </w:tc>
      </w:tr>
      <w:tr>
        <w:trPr/>
        <w:tc>
          <w:tcPr>
            <w:tcW w:w="109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</w:t>
            </w:r>
          </w:p>
        </w:tc>
        <w:tc>
          <w:tcPr>
            <w:tcW w:w="9047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 заинтересованных лицах, извещенных о проведении публичных консультаций</w:t>
            </w:r>
          </w:p>
        </w:tc>
      </w:tr>
      <w:tr>
        <w:trPr/>
        <w:tc>
          <w:tcPr>
            <w:tcW w:w="109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14.3.1.</w:t>
            </w:r>
          </w:p>
        </w:tc>
        <w:tc>
          <w:tcPr>
            <w:tcW w:w="9047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Союз «Южно-Уральская торгово-промышленная палата» </w:t>
            </w:r>
            <w:hyperlink r:id="rId3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mail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@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tpp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74.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ru</w:t>
              </w:r>
            </w:hyperlink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09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14.3.2.</w:t>
            </w:r>
          </w:p>
        </w:tc>
        <w:tc>
          <w:tcPr>
            <w:tcW w:w="9047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Общественный представитель Уполномоченного по защите прав предпринимателей в Челябинской области в г. Копейске </w:t>
            </w:r>
            <w:hyperlink r:id="rId4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info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@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steklo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74.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ru</w:t>
              </w:r>
            </w:hyperlink>
          </w:p>
        </w:tc>
      </w:tr>
      <w:tr>
        <w:trPr/>
        <w:tc>
          <w:tcPr>
            <w:tcW w:w="109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14.3.3.</w:t>
            </w:r>
          </w:p>
        </w:tc>
        <w:tc>
          <w:tcPr>
            <w:tcW w:w="9047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Уполномоченный по защите прав предпринимателей в Челябинской области </w:t>
            </w:r>
            <w:hyperlink r:id="rId5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ombudsman174@mail.ru</w:t>
              </w:r>
            </w:hyperlink>
          </w:p>
        </w:tc>
      </w:tr>
      <w:tr>
        <w:trPr/>
        <w:tc>
          <w:tcPr>
            <w:tcW w:w="109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14.3.4.</w:t>
            </w:r>
          </w:p>
        </w:tc>
        <w:tc>
          <w:tcPr>
            <w:tcW w:w="9047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ИП, член ОКСа, директор фабрики «Медуза» </w:t>
            </w:r>
            <w:hyperlink r:id="rId6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sela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@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meduza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-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chel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ru</w:t>
              </w:r>
            </w:hyperlink>
          </w:p>
        </w:tc>
      </w:tr>
      <w:tr>
        <w:trPr/>
        <w:tc>
          <w:tcPr>
            <w:tcW w:w="109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en-US" w:eastAsia="en-US" w:bidi="ar-SA"/>
              </w:rPr>
              <w:t>14.3.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047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ИП, представитель местного отделения «ОПОРА РОССИИ», член общественной палаты г. Копейска </w:t>
            </w:r>
            <w:hyperlink r:id="rId7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chuvakina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_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olga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@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mail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ru</w:t>
              </w:r>
            </w:hyperlink>
          </w:p>
        </w:tc>
      </w:tr>
      <w:tr>
        <w:trPr/>
        <w:tc>
          <w:tcPr>
            <w:tcW w:w="109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en-US" w:eastAsia="en-US" w:bidi="ar-SA"/>
              </w:rPr>
              <w:t>14.3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.6.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047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Начальник правового управления администрации Копейского городского округа</w:t>
            </w:r>
          </w:p>
        </w:tc>
      </w:tr>
      <w:tr>
        <w:trPr/>
        <w:tc>
          <w:tcPr>
            <w:tcW w:w="109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en-US" w:eastAsia="en-US" w:bidi="ar-SA"/>
              </w:rPr>
              <w:t>7.</w:t>
            </w:r>
          </w:p>
        </w:tc>
        <w:tc>
          <w:tcPr>
            <w:tcW w:w="9047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Неопределенный круг лиц в сети «ИНТЕРНЕТ»</w:t>
            </w:r>
          </w:p>
        </w:tc>
      </w:tr>
      <w:tr>
        <w:trPr/>
        <w:tc>
          <w:tcPr>
            <w:tcW w:w="1090" w:type="dxa"/>
            <w:vMerge w:val="restart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14.4.</w:t>
            </w:r>
          </w:p>
        </w:tc>
        <w:tc>
          <w:tcPr>
            <w:tcW w:w="38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 количестве замечаний и предложений, полученных в связи с публичными консультациями по проекту акта: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Поступило 3 заключения на проект постановления от: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firstLine="360"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Уполномоченного по защите прав предпринимателей в Челябинской области (прилагается);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firstLine="360"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Общественного представителя уполномоченного по защите прав предпринимателей в Челябинской области в г. Копейске (прилагается);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firstLine="360"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начальника правового управления администрации Копейского городского округа (прилагается).</w:t>
            </w:r>
          </w:p>
        </w:tc>
      </w:tr>
      <w:tr>
        <w:trPr/>
        <w:tc>
          <w:tcPr>
            <w:tcW w:w="1090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Всего замечаний и предложений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090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из них учтено: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/>
                <w:sz w:val="26"/>
                <w:szCs w:val="26"/>
              </w:rPr>
            </w:r>
          </w:p>
        </w:tc>
      </w:tr>
      <w:tr>
        <w:trPr/>
        <w:tc>
          <w:tcPr>
            <w:tcW w:w="1090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полностью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090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учтено частично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0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/>
      </w:r>
    </w:p>
    <w:sectPr>
      <w:type w:val="nextPage"/>
      <w:pgSz w:w="11906" w:h="16838"/>
      <w:pgMar w:left="1134" w:right="851" w:gutter="0" w:header="0" w:top="567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2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5">
    <w:lvl w:ilvl="0">
      <w:start w:val="2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6">
    <w:lvl w:ilvl="0">
      <w:start w:val="2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4"/>
    <w:lvlOverride w:ilvl="0">
      <w:startOverride w:val="1"/>
    </w:lvlOverride>
  </w:num>
  <w:num w:numId="8">
    <w:abstractNumId w:val="4"/>
  </w:num>
  <w:num w:numId="9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0000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5c3bd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9"/>
    <w:qFormat/>
    <w:rsid w:val="0064141a"/>
    <w:pPr>
      <w:keepNext w:val="true"/>
      <w:keepLines/>
      <w:spacing w:lineRule="auto" w:line="240" w:before="120" w:after="120"/>
      <w:ind w:left="709"/>
      <w:jc w:val="both"/>
      <w:outlineLvl w:val="1"/>
    </w:pPr>
    <w:rPr>
      <w:rFonts w:ascii="Cambria" w:hAnsi="Cambria" w:eastAsia="Times New Roman" w:cs="Times New Roman"/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c1381e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basedOn w:val="DefaultParagraphFont"/>
    <w:uiPriority w:val="99"/>
    <w:qFormat/>
    <w:rsid w:val="0064141a"/>
    <w:rPr>
      <w:rFonts w:ascii="Cambria" w:hAnsi="Cambria" w:eastAsia="Times New Roman" w:cs="Times New Roman"/>
      <w:b/>
      <w:sz w:val="28"/>
      <w:szCs w:val="20"/>
    </w:rPr>
  </w:style>
  <w:style w:type="character" w:styleId="Style13" w:customStyle="1">
    <w:name w:val="Название Знак"/>
    <w:basedOn w:val="DefaultParagraphFont"/>
    <w:qFormat/>
    <w:rsid w:val="005c3bd2"/>
    <w:rPr>
      <w:rFonts w:ascii="Times New Roman" w:hAnsi="Times New Roman" w:eastAsia="Times New Roman" w:cs="Times New Roman"/>
      <w:b/>
      <w:kern w:val="2"/>
      <w:sz w:val="28"/>
      <w:szCs w:val="20"/>
    </w:rPr>
  </w:style>
  <w:style w:type="character" w:styleId="1" w:customStyle="1">
    <w:name w:val="Заголовок 1 Знак"/>
    <w:basedOn w:val="DefaultParagraphFont"/>
    <w:uiPriority w:val="99"/>
    <w:qFormat/>
    <w:rsid w:val="005c3bd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4" w:customStyle="1">
    <w:name w:val="Цветовое выделение"/>
    <w:uiPriority w:val="99"/>
    <w:qFormat/>
    <w:rsid w:val="00bb51fb"/>
    <w:rPr>
      <w:b/>
      <w:color w:val="26282F"/>
    </w:rPr>
  </w:style>
  <w:style w:type="character" w:styleId="Hyperlink">
    <w:name w:val="Hyperlink"/>
    <w:basedOn w:val="DefaultParagraphFont"/>
    <w:uiPriority w:val="99"/>
    <w:unhideWhenUsed/>
    <w:rsid w:val="00f63e3a"/>
    <w:rPr>
      <w:color w:themeColor="hyperlink" w:val="0000FF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40220"/>
    <w:rPr/>
  </w:style>
  <w:style w:type="character" w:styleId="Style16" w:customStyle="1">
    <w:name w:val="Нижний колонтитул Знак"/>
    <w:basedOn w:val="DefaultParagraphFont"/>
    <w:uiPriority w:val="99"/>
    <w:qFormat/>
    <w:rsid w:val="00a40220"/>
    <w:rPr/>
  </w:style>
  <w:style w:type="character" w:styleId="WW8Num8z0" w:customStyle="1">
    <w:name w:val="WW8Num8z0"/>
    <w:qFormat/>
    <w:rsid w:val="00174834"/>
    <w:rPr>
      <w:b w:val="false"/>
      <w:i w:val="false"/>
    </w:rPr>
  </w:style>
  <w:style w:type="character" w:styleId="Path-separator" w:customStyle="1">
    <w:name w:val="path-separator"/>
    <w:basedOn w:val="DefaultParagraphFont"/>
    <w:qFormat/>
    <w:rsid w:val="00802879"/>
    <w:rPr/>
  </w:style>
  <w:style w:type="character" w:styleId="Strong">
    <w:name w:val="Strong"/>
    <w:basedOn w:val="DefaultParagraphFont"/>
    <w:uiPriority w:val="22"/>
    <w:qFormat/>
    <w:rsid w:val="00193d7f"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b6958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c1381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itle">
    <w:name w:val="Title"/>
    <w:basedOn w:val="Heading1"/>
    <w:next w:val="Normal"/>
    <w:link w:val="Style13"/>
    <w:qFormat/>
    <w:rsid w:val="005c3bd2"/>
    <w:pPr>
      <w:keepLines w:val="false"/>
      <w:spacing w:lineRule="auto" w:line="240" w:before="0" w:after="0"/>
      <w:jc w:val="both"/>
    </w:pPr>
    <w:rPr>
      <w:rFonts w:ascii="Times New Roman" w:hAnsi="Times New Roman" w:eastAsia="Times New Roman" w:cs="Times New Roman"/>
      <w:bCs w:val="false"/>
      <w:color w:themeColor="accent1" w:themeShade="bf" w:val="auto"/>
      <w:kern w:val="2"/>
      <w:szCs w:val="20"/>
    </w:rPr>
  </w:style>
  <w:style w:type="paragraph" w:styleId="NoSpacing">
    <w:name w:val="No Spacing"/>
    <w:uiPriority w:val="1"/>
    <w:qFormat/>
    <w:rsid w:val="005e474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4022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a4022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29765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65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kgo74.ru/about/otsenka-reguliruyushchego-vozdeystviya.php" TargetMode="External"/><Relationship Id="rId3" Type="http://schemas.openxmlformats.org/officeDocument/2006/relationships/hyperlink" Target="mailto:mail@tpp74.ru" TargetMode="External"/><Relationship Id="rId4" Type="http://schemas.openxmlformats.org/officeDocument/2006/relationships/hyperlink" Target="mailto:info@steklo74.ru" TargetMode="External"/><Relationship Id="rId5" Type="http://schemas.openxmlformats.org/officeDocument/2006/relationships/hyperlink" Target="mailto:ombudsman174@mail.ru" TargetMode="External"/><Relationship Id="rId6" Type="http://schemas.openxmlformats.org/officeDocument/2006/relationships/hyperlink" Target="mailto:sela@meduza-chel.ru" TargetMode="External"/><Relationship Id="rId7" Type="http://schemas.openxmlformats.org/officeDocument/2006/relationships/hyperlink" Target="mailto:chuvakina_olga@mail.ru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B072B-F91F-43C7-9D79-B3F34055F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Application>LibreOffice/7.6.0.3$Linux_X86_64 LibreOffice_project/60$Build-3</Application>
  <AppVersion>15.0000</AppVersion>
  <Pages>5</Pages>
  <Words>1185</Words>
  <Characters>9206</Characters>
  <CharactersWithSpaces>10277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2022-07-20T05:43:00Z</dcterms:created>
  <dc:creator>Ганеева Э.А.</dc:creator>
  <dc:description/>
  <dc:language>ru-RU</dc:language>
  <cp:lastModifiedBy/>
  <cp:lastPrinted>2024-06-06T12:48:09Z</cp:lastPrinted>
  <dcterms:modified xsi:type="dcterms:W3CDTF">2025-02-06T13:05:28Z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