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C5" w:rsidRDefault="002B78F1" w:rsidP="0099560F">
      <w:pPr>
        <w:tabs>
          <w:tab w:val="left" w:pos="4536"/>
        </w:tabs>
        <w:spacing w:line="240" w:lineRule="auto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решения Собрания депутатов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4565E2" w:rsidRDefault="004565E2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3C16A7" w:rsidRDefault="003C16A7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2F7319" w:rsidRDefault="002F7319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6A52A4" w:rsidRDefault="006A52A4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О</w:t>
      </w:r>
      <w:r w:rsidR="002D7DA6">
        <w:rPr>
          <w:sz w:val="26"/>
          <w:szCs w:val="26"/>
        </w:rPr>
        <w:t xml:space="preserve"> прогнозе</w:t>
      </w:r>
      <w:r>
        <w:rPr>
          <w:sz w:val="26"/>
          <w:szCs w:val="26"/>
        </w:rPr>
        <w:t xml:space="preserve">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D32CB7" w:rsidRPr="00B15222" w:rsidRDefault="00163551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F56E03">
        <w:rPr>
          <w:sz w:val="26"/>
          <w:szCs w:val="26"/>
        </w:rPr>
        <w:t>3</w:t>
      </w:r>
      <w:r w:rsidR="001D7C6F">
        <w:rPr>
          <w:sz w:val="26"/>
          <w:szCs w:val="26"/>
        </w:rPr>
        <w:t>-202</w:t>
      </w:r>
      <w:r w:rsidR="00F56E03">
        <w:rPr>
          <w:sz w:val="26"/>
          <w:szCs w:val="26"/>
        </w:rPr>
        <w:t>5</w:t>
      </w:r>
      <w:r w:rsidR="001D7C6F">
        <w:rPr>
          <w:sz w:val="26"/>
          <w:szCs w:val="26"/>
        </w:rPr>
        <w:t xml:space="preserve"> год</w:t>
      </w:r>
      <w:r w:rsidR="00AD0E6F">
        <w:rPr>
          <w:sz w:val="26"/>
          <w:szCs w:val="26"/>
        </w:rPr>
        <w:t>ы</w:t>
      </w: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2F00C5" w:rsidRDefault="002F00C5" w:rsidP="00076CBA">
      <w:pPr>
        <w:spacing w:line="240" w:lineRule="auto"/>
        <w:rPr>
          <w:sz w:val="28"/>
          <w:szCs w:val="28"/>
        </w:rPr>
      </w:pPr>
    </w:p>
    <w:p w:rsidR="00D32CB7" w:rsidRDefault="00D32CB7" w:rsidP="00076CBA">
      <w:pPr>
        <w:spacing w:line="240" w:lineRule="auto"/>
        <w:rPr>
          <w:sz w:val="28"/>
          <w:szCs w:val="28"/>
        </w:rPr>
      </w:pP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ab/>
      </w:r>
      <w:r w:rsidR="002D7DA6">
        <w:rPr>
          <w:sz w:val="26"/>
          <w:szCs w:val="26"/>
        </w:rPr>
        <w:t xml:space="preserve">Заслушав информацию </w:t>
      </w:r>
      <w:r w:rsidR="006A52A4">
        <w:rPr>
          <w:sz w:val="26"/>
          <w:szCs w:val="26"/>
        </w:rPr>
        <w:t xml:space="preserve">о </w:t>
      </w:r>
      <w:r w:rsidR="002D7DA6">
        <w:rPr>
          <w:sz w:val="26"/>
          <w:szCs w:val="26"/>
        </w:rPr>
        <w:t xml:space="preserve">прогнозе социально-экономического развития </w:t>
      </w:r>
      <w:proofErr w:type="spellStart"/>
      <w:r w:rsidR="002D7DA6">
        <w:rPr>
          <w:sz w:val="26"/>
          <w:szCs w:val="26"/>
        </w:rPr>
        <w:t>Копейского</w:t>
      </w:r>
      <w:proofErr w:type="spellEnd"/>
      <w:r w:rsidR="002D7DA6">
        <w:rPr>
          <w:sz w:val="26"/>
          <w:szCs w:val="26"/>
        </w:rPr>
        <w:t xml:space="preserve"> городского округа на 20</w:t>
      </w:r>
      <w:r w:rsidR="00163551">
        <w:rPr>
          <w:sz w:val="26"/>
          <w:szCs w:val="26"/>
        </w:rPr>
        <w:t>2</w:t>
      </w:r>
      <w:r w:rsidR="00F56E03">
        <w:rPr>
          <w:sz w:val="26"/>
          <w:szCs w:val="26"/>
        </w:rPr>
        <w:t>3</w:t>
      </w:r>
      <w:r w:rsidR="00AD0E6F">
        <w:rPr>
          <w:sz w:val="26"/>
          <w:szCs w:val="26"/>
        </w:rPr>
        <w:t>-202</w:t>
      </w:r>
      <w:r w:rsidR="00F56E03">
        <w:rPr>
          <w:sz w:val="26"/>
          <w:szCs w:val="26"/>
        </w:rPr>
        <w:t>5</w:t>
      </w:r>
      <w:r w:rsidR="004E1F2F">
        <w:rPr>
          <w:sz w:val="26"/>
          <w:szCs w:val="26"/>
        </w:rPr>
        <w:t xml:space="preserve"> </w:t>
      </w:r>
      <w:r w:rsidR="00115B5C">
        <w:rPr>
          <w:sz w:val="26"/>
          <w:szCs w:val="26"/>
        </w:rPr>
        <w:t>год</w:t>
      </w:r>
      <w:r w:rsidR="00AD0E6F">
        <w:rPr>
          <w:sz w:val="26"/>
          <w:szCs w:val="26"/>
        </w:rPr>
        <w:t>ы</w:t>
      </w:r>
      <w:r w:rsidR="00D107AD" w:rsidRPr="00B15222">
        <w:rPr>
          <w:sz w:val="26"/>
          <w:szCs w:val="26"/>
        </w:rPr>
        <w:t xml:space="preserve">, Собрание депутатов </w:t>
      </w:r>
      <w:proofErr w:type="spellStart"/>
      <w:r w:rsidR="00D107AD" w:rsidRPr="00B15222">
        <w:rPr>
          <w:sz w:val="26"/>
          <w:szCs w:val="26"/>
        </w:rPr>
        <w:t>Копейского</w:t>
      </w:r>
      <w:proofErr w:type="spellEnd"/>
      <w:r w:rsidR="00D107AD" w:rsidRPr="00B15222">
        <w:rPr>
          <w:sz w:val="26"/>
          <w:szCs w:val="26"/>
        </w:rPr>
        <w:t xml:space="preserve"> городского округа </w:t>
      </w:r>
    </w:p>
    <w:p w:rsidR="00D32CB7" w:rsidRPr="00B15222" w:rsidRDefault="00D32CB7" w:rsidP="00076CBA">
      <w:pPr>
        <w:spacing w:line="240" w:lineRule="auto"/>
        <w:jc w:val="both"/>
        <w:rPr>
          <w:sz w:val="26"/>
          <w:szCs w:val="26"/>
        </w:rPr>
      </w:pPr>
      <w:r w:rsidRPr="00B15222">
        <w:rPr>
          <w:sz w:val="26"/>
          <w:szCs w:val="26"/>
        </w:rPr>
        <w:t>РЕШАЕТ:</w:t>
      </w:r>
    </w:p>
    <w:p w:rsidR="002D7DA6" w:rsidRDefault="002D7DA6" w:rsidP="004E1F2F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прогноз социально-экономического развития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  <w:r w:rsidR="004E1F2F" w:rsidRPr="004E1F2F">
        <w:rPr>
          <w:sz w:val="26"/>
          <w:szCs w:val="26"/>
        </w:rPr>
        <w:t xml:space="preserve">на </w:t>
      </w:r>
      <w:r w:rsidR="00AD0E6F">
        <w:rPr>
          <w:sz w:val="26"/>
          <w:szCs w:val="26"/>
        </w:rPr>
        <w:t>202</w:t>
      </w:r>
      <w:r w:rsidR="00F56E03">
        <w:rPr>
          <w:sz w:val="26"/>
          <w:szCs w:val="26"/>
        </w:rPr>
        <w:t>3</w:t>
      </w:r>
      <w:r w:rsidR="00AD0E6F">
        <w:rPr>
          <w:sz w:val="26"/>
          <w:szCs w:val="26"/>
        </w:rPr>
        <w:t>-202</w:t>
      </w:r>
      <w:r w:rsidR="00F56E03">
        <w:rPr>
          <w:sz w:val="26"/>
          <w:szCs w:val="26"/>
        </w:rPr>
        <w:t>5</w:t>
      </w:r>
      <w:r w:rsidR="00AD0E6F">
        <w:rPr>
          <w:sz w:val="26"/>
          <w:szCs w:val="26"/>
        </w:rPr>
        <w:t xml:space="preserve"> годы</w:t>
      </w:r>
      <w:r w:rsidR="004E1F2F" w:rsidRPr="004E1F2F">
        <w:rPr>
          <w:sz w:val="26"/>
          <w:szCs w:val="26"/>
        </w:rPr>
        <w:t xml:space="preserve"> </w:t>
      </w:r>
      <w:r w:rsidR="006A52A4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). </w:t>
      </w:r>
    </w:p>
    <w:p w:rsidR="00D107AD" w:rsidRPr="00B15222" w:rsidRDefault="00D107AD" w:rsidP="00076CB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Администрации </w:t>
      </w:r>
      <w:proofErr w:type="spellStart"/>
      <w:r w:rsidRPr="00B15222">
        <w:rPr>
          <w:sz w:val="26"/>
          <w:szCs w:val="26"/>
        </w:rPr>
        <w:t>Копейского</w:t>
      </w:r>
      <w:proofErr w:type="spellEnd"/>
      <w:r w:rsidRPr="00B15222">
        <w:rPr>
          <w:sz w:val="26"/>
          <w:szCs w:val="26"/>
        </w:rPr>
        <w:t xml:space="preserve"> городского округа, структурным подразделениям администрац</w:t>
      </w:r>
      <w:r w:rsidR="002D7DA6">
        <w:rPr>
          <w:sz w:val="26"/>
          <w:szCs w:val="26"/>
        </w:rPr>
        <w:t xml:space="preserve">ии </w:t>
      </w:r>
      <w:proofErr w:type="spellStart"/>
      <w:r w:rsidR="002D7DA6">
        <w:rPr>
          <w:sz w:val="26"/>
          <w:szCs w:val="26"/>
        </w:rPr>
        <w:t>Копейского</w:t>
      </w:r>
      <w:proofErr w:type="spellEnd"/>
      <w:r w:rsidR="002D7DA6">
        <w:rPr>
          <w:sz w:val="26"/>
          <w:szCs w:val="26"/>
        </w:rPr>
        <w:t xml:space="preserve"> городского округа, муниципальным предприятиям, учреждениям и организациям </w:t>
      </w:r>
      <w:proofErr w:type="spellStart"/>
      <w:r w:rsidR="002D7DA6">
        <w:rPr>
          <w:sz w:val="26"/>
          <w:szCs w:val="26"/>
        </w:rPr>
        <w:t>Копейского</w:t>
      </w:r>
      <w:proofErr w:type="spellEnd"/>
      <w:r w:rsidR="002D7DA6">
        <w:rPr>
          <w:sz w:val="26"/>
          <w:szCs w:val="26"/>
        </w:rPr>
        <w:t xml:space="preserve"> городского </w:t>
      </w:r>
      <w:proofErr w:type="gramStart"/>
      <w:r w:rsidR="002D7DA6">
        <w:rPr>
          <w:sz w:val="26"/>
          <w:szCs w:val="26"/>
        </w:rPr>
        <w:t>округа  обеспечить</w:t>
      </w:r>
      <w:proofErr w:type="gramEnd"/>
      <w:r w:rsidR="002D7DA6">
        <w:rPr>
          <w:sz w:val="26"/>
          <w:szCs w:val="26"/>
        </w:rPr>
        <w:t xml:space="preserve"> достижение показателей прогноза социально-экономического развития </w:t>
      </w:r>
      <w:proofErr w:type="spellStart"/>
      <w:r w:rsidR="002D7DA6">
        <w:rPr>
          <w:sz w:val="26"/>
          <w:szCs w:val="26"/>
        </w:rPr>
        <w:t>Копейского</w:t>
      </w:r>
      <w:proofErr w:type="spellEnd"/>
      <w:r w:rsidR="002D7DA6">
        <w:rPr>
          <w:sz w:val="26"/>
          <w:szCs w:val="26"/>
        </w:rPr>
        <w:t xml:space="preserve"> городского округа на </w:t>
      </w:r>
      <w:r w:rsidR="001D7C6F">
        <w:rPr>
          <w:sz w:val="26"/>
          <w:szCs w:val="26"/>
        </w:rPr>
        <w:t>202</w:t>
      </w:r>
      <w:r w:rsidR="00F56E03">
        <w:rPr>
          <w:sz w:val="26"/>
          <w:szCs w:val="26"/>
        </w:rPr>
        <w:t>3</w:t>
      </w:r>
      <w:r w:rsidR="006A52A4">
        <w:rPr>
          <w:sz w:val="26"/>
          <w:szCs w:val="26"/>
        </w:rPr>
        <w:t>-202</w:t>
      </w:r>
      <w:r w:rsidR="00F56E03">
        <w:rPr>
          <w:sz w:val="26"/>
          <w:szCs w:val="26"/>
        </w:rPr>
        <w:t>5</w:t>
      </w:r>
      <w:r w:rsidR="00A17AB8">
        <w:rPr>
          <w:sz w:val="26"/>
          <w:szCs w:val="26"/>
        </w:rPr>
        <w:t xml:space="preserve"> год</w:t>
      </w:r>
      <w:r w:rsidR="001D7C6F">
        <w:rPr>
          <w:sz w:val="26"/>
          <w:szCs w:val="26"/>
        </w:rPr>
        <w:t>а</w:t>
      </w:r>
      <w:r w:rsidR="002D7DA6">
        <w:rPr>
          <w:sz w:val="26"/>
          <w:szCs w:val="26"/>
        </w:rPr>
        <w:t>.</w:t>
      </w:r>
    </w:p>
    <w:p w:rsidR="00D32CB7" w:rsidRPr="00B15222" w:rsidRDefault="00D32CB7" w:rsidP="00442A8D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B15222">
        <w:rPr>
          <w:sz w:val="26"/>
          <w:szCs w:val="26"/>
        </w:rPr>
        <w:t xml:space="preserve">Контроль </w:t>
      </w:r>
      <w:r w:rsidR="00442A8D">
        <w:rPr>
          <w:sz w:val="26"/>
          <w:szCs w:val="26"/>
        </w:rPr>
        <w:t xml:space="preserve">за </w:t>
      </w:r>
      <w:r w:rsidR="002D7DA6">
        <w:rPr>
          <w:sz w:val="26"/>
          <w:szCs w:val="26"/>
        </w:rPr>
        <w:t xml:space="preserve">исполнением настоящего </w:t>
      </w:r>
      <w:r w:rsidR="00AA6A32">
        <w:rPr>
          <w:sz w:val="26"/>
          <w:szCs w:val="26"/>
        </w:rPr>
        <w:t xml:space="preserve">решения </w:t>
      </w:r>
      <w:r w:rsidRPr="00B15222">
        <w:rPr>
          <w:sz w:val="26"/>
          <w:szCs w:val="26"/>
        </w:rPr>
        <w:t xml:space="preserve">возложить на постоянную комиссию по экономической, бюджетной и налоговой политике </w:t>
      </w:r>
      <w:r w:rsidR="00076CBA" w:rsidRPr="00B15222">
        <w:rPr>
          <w:sz w:val="26"/>
          <w:szCs w:val="26"/>
        </w:rPr>
        <w:t xml:space="preserve">Собрания депутатов </w:t>
      </w:r>
      <w:proofErr w:type="spellStart"/>
      <w:r w:rsidR="00076CBA" w:rsidRPr="00B15222">
        <w:rPr>
          <w:sz w:val="26"/>
          <w:szCs w:val="26"/>
        </w:rPr>
        <w:t>Копейского</w:t>
      </w:r>
      <w:proofErr w:type="spellEnd"/>
      <w:r w:rsidR="00076CBA" w:rsidRPr="00B15222">
        <w:rPr>
          <w:sz w:val="26"/>
          <w:szCs w:val="26"/>
        </w:rPr>
        <w:t xml:space="preserve"> городского округа</w:t>
      </w:r>
      <w:r w:rsidR="00DD1D49">
        <w:rPr>
          <w:sz w:val="26"/>
          <w:szCs w:val="26"/>
        </w:rPr>
        <w:t>.</w:t>
      </w:r>
    </w:p>
    <w:p w:rsidR="00D32CB7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2D7DA6" w:rsidRPr="00B15222" w:rsidRDefault="002D7DA6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p w:rsidR="00D32CB7" w:rsidRPr="00B15222" w:rsidRDefault="00D32CB7" w:rsidP="00076CBA">
      <w:pPr>
        <w:tabs>
          <w:tab w:val="left" w:pos="993"/>
        </w:tabs>
        <w:spacing w:line="240" w:lineRule="auto"/>
        <w:jc w:val="both"/>
        <w:rPr>
          <w:sz w:val="26"/>
          <w:szCs w:val="26"/>
        </w:rPr>
      </w:pPr>
    </w:p>
    <w:tbl>
      <w:tblPr>
        <w:tblStyle w:val="a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076CBA" w:rsidRPr="00B15222" w:rsidTr="00076CBA">
        <w:tc>
          <w:tcPr>
            <w:tcW w:w="4860" w:type="dxa"/>
          </w:tcPr>
          <w:p w:rsidR="00076CBA" w:rsidRPr="00B15222" w:rsidRDefault="00076CBA" w:rsidP="006B2841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B15222">
              <w:rPr>
                <w:sz w:val="26"/>
                <w:szCs w:val="26"/>
              </w:rPr>
              <w:t xml:space="preserve">Председатель Собрания депутатов </w:t>
            </w:r>
            <w:proofErr w:type="spellStart"/>
            <w:r w:rsidRPr="00B15222">
              <w:rPr>
                <w:sz w:val="26"/>
                <w:szCs w:val="26"/>
              </w:rPr>
              <w:t>Копейского</w:t>
            </w:r>
            <w:proofErr w:type="spellEnd"/>
            <w:r w:rsidRPr="00B15222">
              <w:rPr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4860" w:type="dxa"/>
          </w:tcPr>
          <w:p w:rsidR="002D7DA6" w:rsidRDefault="002D7DA6" w:rsidP="002D7DA6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</w:p>
          <w:p w:rsidR="00076CBA" w:rsidRPr="00B15222" w:rsidRDefault="0099560F" w:rsidP="00DD1D49">
            <w:pPr>
              <w:tabs>
                <w:tab w:val="left" w:pos="993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Е.К</w:t>
            </w:r>
            <w:r w:rsidR="00AD0E6F">
              <w:rPr>
                <w:sz w:val="26"/>
                <w:szCs w:val="26"/>
              </w:rPr>
              <w:t xml:space="preserve">. </w:t>
            </w:r>
            <w:proofErr w:type="spellStart"/>
            <w:r w:rsidR="00AD0E6F">
              <w:rPr>
                <w:sz w:val="26"/>
                <w:szCs w:val="26"/>
              </w:rPr>
              <w:t>Гиске</w:t>
            </w:r>
            <w:proofErr w:type="spellEnd"/>
          </w:p>
        </w:tc>
      </w:tr>
    </w:tbl>
    <w:p w:rsidR="00D70F69" w:rsidRDefault="00D70F69" w:rsidP="00BA0ACF">
      <w:pPr>
        <w:rPr>
          <w:rFonts w:eastAsia="Times New Roman" w:cs="Times New Roman"/>
          <w:bCs/>
          <w:szCs w:val="24"/>
          <w:lang w:eastAsia="ru-RU"/>
        </w:rPr>
      </w:pPr>
    </w:p>
    <w:p w:rsidR="00D70F69" w:rsidRDefault="00D70F69">
      <w:pPr>
        <w:rPr>
          <w:rFonts w:eastAsia="Times New Roman" w:cs="Times New Roman"/>
          <w:szCs w:val="24"/>
          <w:lang w:eastAsia="ru-RU"/>
        </w:rPr>
      </w:pPr>
    </w:p>
    <w:p w:rsidR="00D70F69" w:rsidRDefault="00D70F6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D70F69" w:rsidRDefault="00D70F69" w:rsidP="00D70F69">
      <w:pPr>
        <w:tabs>
          <w:tab w:val="left" w:pos="910"/>
        </w:tabs>
        <w:rPr>
          <w:rFonts w:eastAsia="Times New Roman" w:cs="Times New Roman"/>
          <w:szCs w:val="24"/>
          <w:lang w:eastAsia="ru-RU"/>
        </w:rPr>
        <w:sectPr w:rsidR="00D70F69" w:rsidSect="00BA0A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70F69" w:rsidRDefault="00D70F69" w:rsidP="00D70F69">
      <w:pPr>
        <w:tabs>
          <w:tab w:val="left" w:pos="910"/>
        </w:tabs>
        <w:ind w:left="1049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</w:t>
      </w:r>
      <w:r w:rsidRPr="00D70F69">
        <w:rPr>
          <w:rFonts w:eastAsia="Times New Roman" w:cs="Times New Roman"/>
          <w:szCs w:val="24"/>
          <w:lang w:eastAsia="ru-RU"/>
        </w:rPr>
        <w:t>риложение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D70F69" w:rsidRDefault="00D70F69" w:rsidP="00D70F69">
      <w:pPr>
        <w:tabs>
          <w:tab w:val="left" w:pos="910"/>
        </w:tabs>
        <w:ind w:left="10490"/>
        <w:jc w:val="center"/>
        <w:rPr>
          <w:rFonts w:eastAsia="Times New Roman" w:cs="Times New Roman"/>
          <w:szCs w:val="24"/>
          <w:lang w:eastAsia="ru-RU"/>
        </w:rPr>
      </w:pPr>
      <w:r w:rsidRPr="00D70F69">
        <w:rPr>
          <w:rFonts w:eastAsia="Times New Roman" w:cs="Times New Roman"/>
          <w:szCs w:val="24"/>
          <w:lang w:eastAsia="ru-RU"/>
        </w:rPr>
        <w:t>к решению Собрания депутатов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70F69">
        <w:rPr>
          <w:rFonts w:eastAsia="Times New Roman" w:cs="Times New Roman"/>
          <w:szCs w:val="24"/>
          <w:lang w:eastAsia="ru-RU"/>
        </w:rPr>
        <w:t>Копейского</w:t>
      </w:r>
      <w:proofErr w:type="spellEnd"/>
      <w:r w:rsidRPr="00D70F69">
        <w:rPr>
          <w:rFonts w:eastAsia="Times New Roman" w:cs="Times New Roman"/>
          <w:szCs w:val="24"/>
          <w:lang w:eastAsia="ru-RU"/>
        </w:rPr>
        <w:t xml:space="preserve"> городского округа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70F69">
        <w:rPr>
          <w:rFonts w:eastAsia="Times New Roman" w:cs="Times New Roman"/>
          <w:szCs w:val="24"/>
          <w:lang w:eastAsia="ru-RU"/>
        </w:rPr>
        <w:t>Челябинской области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D70F69" w:rsidRPr="00D70F69" w:rsidRDefault="00D70F69" w:rsidP="00D70F69">
      <w:pPr>
        <w:tabs>
          <w:tab w:val="left" w:pos="910"/>
        </w:tabs>
        <w:ind w:left="10490"/>
        <w:jc w:val="center"/>
        <w:rPr>
          <w:rFonts w:eastAsia="Times New Roman" w:cs="Times New Roman"/>
          <w:szCs w:val="24"/>
          <w:lang w:eastAsia="ru-RU"/>
        </w:rPr>
      </w:pPr>
      <w:r w:rsidRPr="00D70F69">
        <w:rPr>
          <w:rFonts w:eastAsia="Times New Roman" w:cs="Times New Roman"/>
          <w:szCs w:val="24"/>
          <w:lang w:eastAsia="ru-RU"/>
        </w:rPr>
        <w:t>от _____________ № ____________</w:t>
      </w:r>
    </w:p>
    <w:p w:rsidR="00D70F69" w:rsidRPr="00D70F69" w:rsidRDefault="00D70F69" w:rsidP="00D70F69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70F69" w:rsidRPr="00D70F69" w:rsidRDefault="00D70F69" w:rsidP="00D70F69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D70F69" w:rsidRPr="00D70F69" w:rsidRDefault="00D70F69" w:rsidP="00D70F69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70F69">
        <w:rPr>
          <w:rFonts w:eastAsia="Times New Roman" w:cs="Times New Roman"/>
          <w:szCs w:val="24"/>
          <w:lang w:eastAsia="ru-RU"/>
        </w:rPr>
        <w:t xml:space="preserve">Прогноз социально-экономического </w:t>
      </w:r>
      <w:proofErr w:type="gramStart"/>
      <w:r w:rsidRPr="00D70F69">
        <w:rPr>
          <w:rFonts w:eastAsia="Times New Roman" w:cs="Times New Roman"/>
          <w:szCs w:val="24"/>
          <w:lang w:eastAsia="ru-RU"/>
        </w:rPr>
        <w:t xml:space="preserve">развития  </w:t>
      </w:r>
      <w:proofErr w:type="spellStart"/>
      <w:r w:rsidRPr="00D70F69">
        <w:rPr>
          <w:rFonts w:eastAsia="Times New Roman" w:cs="Times New Roman"/>
          <w:szCs w:val="24"/>
          <w:lang w:eastAsia="ru-RU"/>
        </w:rPr>
        <w:t>Копейского</w:t>
      </w:r>
      <w:proofErr w:type="spellEnd"/>
      <w:proofErr w:type="gramEnd"/>
      <w:r w:rsidRPr="00D70F69">
        <w:rPr>
          <w:rFonts w:eastAsia="Times New Roman" w:cs="Times New Roman"/>
          <w:szCs w:val="24"/>
          <w:lang w:eastAsia="ru-RU"/>
        </w:rPr>
        <w:t xml:space="preserve"> городского округа Челябинской области </w:t>
      </w:r>
    </w:p>
    <w:p w:rsidR="00D70F69" w:rsidRPr="00D70F69" w:rsidRDefault="00D70F69" w:rsidP="00D70F69">
      <w:pPr>
        <w:autoSpaceDE w:val="0"/>
        <w:autoSpaceDN w:val="0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70F69">
        <w:rPr>
          <w:rFonts w:eastAsia="Times New Roman" w:cs="Times New Roman"/>
          <w:szCs w:val="24"/>
          <w:lang w:eastAsia="ru-RU"/>
        </w:rPr>
        <w:t>на 2023 - 2025 годы</w:t>
      </w:r>
    </w:p>
    <w:p w:rsidR="00D70F69" w:rsidRPr="00D70F69" w:rsidRDefault="00D70F69" w:rsidP="00D70F69">
      <w:pPr>
        <w:autoSpaceDE w:val="0"/>
        <w:autoSpaceDN w:val="0"/>
        <w:spacing w:line="240" w:lineRule="auto"/>
        <w:rPr>
          <w:rFonts w:eastAsia="Times New Roman" w:cs="Times New Roman"/>
          <w:b/>
          <w:sz w:val="22"/>
          <w:lang w:eastAsia="ru-RU"/>
        </w:rPr>
      </w:pPr>
    </w:p>
    <w:tbl>
      <w:tblPr>
        <w:tblW w:w="15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1275"/>
        <w:gridCol w:w="1134"/>
        <w:gridCol w:w="1276"/>
        <w:gridCol w:w="1276"/>
        <w:gridCol w:w="1276"/>
        <w:gridCol w:w="1275"/>
        <w:gridCol w:w="1276"/>
        <w:gridCol w:w="1418"/>
      </w:tblGrid>
      <w:tr w:rsidR="00D70F69" w:rsidRPr="00D70F69" w:rsidTr="00D70F69">
        <w:trPr>
          <w:cantSplit/>
          <w:trHeight w:val="302"/>
          <w:tblHeader/>
        </w:trPr>
        <w:tc>
          <w:tcPr>
            <w:tcW w:w="4961" w:type="dxa"/>
            <w:vMerge w:val="restart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2021 год</w:t>
            </w:r>
            <w:r w:rsidRPr="00D70F69">
              <w:rPr>
                <w:rFonts w:eastAsia="Times New Roman" w:cs="Times New Roman"/>
                <w:szCs w:val="24"/>
                <w:lang w:eastAsia="ru-RU"/>
              </w:rPr>
              <w:br/>
              <w:t>(отчет)</w:t>
            </w:r>
          </w:p>
        </w:tc>
        <w:tc>
          <w:tcPr>
            <w:tcW w:w="1134" w:type="dxa"/>
            <w:vMerge w:val="restart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2022 год</w:t>
            </w:r>
            <w:r w:rsidRPr="00D70F69">
              <w:rPr>
                <w:rFonts w:eastAsia="Times New Roman" w:cs="Times New Roman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2552" w:type="dxa"/>
            <w:gridSpan w:val="2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2023 год (прогноз)</w:t>
            </w:r>
          </w:p>
        </w:tc>
        <w:tc>
          <w:tcPr>
            <w:tcW w:w="2551" w:type="dxa"/>
            <w:gridSpan w:val="2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2024 год (прогноз)</w:t>
            </w:r>
          </w:p>
        </w:tc>
        <w:tc>
          <w:tcPr>
            <w:tcW w:w="2694" w:type="dxa"/>
            <w:gridSpan w:val="2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2025 год (прогноз)</w:t>
            </w:r>
          </w:p>
        </w:tc>
      </w:tr>
      <w:tr w:rsidR="00D70F69" w:rsidRPr="00D70F69" w:rsidTr="00D70F69">
        <w:trPr>
          <w:cantSplit/>
          <w:tblHeader/>
        </w:trPr>
        <w:tc>
          <w:tcPr>
            <w:tcW w:w="4961" w:type="dxa"/>
            <w:vMerge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70F69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70F69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70F69">
              <w:rPr>
                <w:rFonts w:eastAsia="Times New Roman" w:cs="Times New Roman"/>
                <w:szCs w:val="24"/>
                <w:lang w:eastAsia="ru-RU"/>
              </w:rPr>
              <w:t>консерва-тивный</w:t>
            </w:r>
            <w:proofErr w:type="spellEnd"/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базовый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 xml:space="preserve">Среднегодовая численность постоянного населения, </w:t>
            </w:r>
            <w:r w:rsidRPr="00D70F69">
              <w:rPr>
                <w:rFonts w:eastAsia="Times New Roman" w:cs="Times New Roman"/>
                <w:szCs w:val="24"/>
                <w:lang w:eastAsia="ru-RU"/>
              </w:rPr>
              <w:br/>
              <w:t>тыс. человек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147,6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146,5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145,5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145,7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144,7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145,4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144,0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145,2</w:t>
            </w:r>
          </w:p>
        </w:tc>
      </w:tr>
      <w:tr w:rsidR="00D70F69" w:rsidRPr="00D70F69" w:rsidTr="00D70F69">
        <w:trPr>
          <w:cantSplit/>
          <w:trHeight w:val="203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99,1%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99,3%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99,3%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99,5%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99,8%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99,5%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99,9%</w:t>
            </w:r>
          </w:p>
        </w:tc>
      </w:tr>
      <w:tr w:rsidR="00D70F69" w:rsidRPr="00D70F69" w:rsidTr="00D70F69">
        <w:trPr>
          <w:cantSplit/>
          <w:trHeight w:val="719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36 396,1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34 809,5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35 853,7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35 998,0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37 921,8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38 037,8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40 107,2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40 467,7</w:t>
            </w:r>
          </w:p>
        </w:tc>
      </w:tr>
      <w:tr w:rsidR="00D70F69" w:rsidRPr="00D70F69" w:rsidTr="00D70F69">
        <w:trPr>
          <w:cantSplit/>
          <w:trHeight w:val="191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119,9%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95,6%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103,0%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103,4%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105,8%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105,7%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105,8%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106,4%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Индекс производства (в % к предыдущему году в сопоставимых ценах)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108,2%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86,3%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101,7%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101,7%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101,5%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102,1%</w:t>
            </w:r>
          </w:p>
        </w:tc>
      </w:tr>
      <w:tr w:rsidR="00D70F69" w:rsidRPr="00D70F69" w:rsidTr="00D70F69">
        <w:trPr>
          <w:cantSplit/>
          <w:trHeight w:val="187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Оплата труда наемных работников, млн. рублей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14 668,1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16 557,9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17 557,9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17 786,6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18 621,2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19 109,4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19 748,9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20 530,6</w:t>
            </w:r>
          </w:p>
        </w:tc>
      </w:tr>
      <w:tr w:rsidR="00D70F69" w:rsidRPr="00D70F69" w:rsidTr="00D70F69">
        <w:trPr>
          <w:cantSplit/>
          <w:trHeight w:val="193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107,2%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112,9%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106,0%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107,4%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106,1%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107,4%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106,1%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color w:val="000000"/>
                <w:szCs w:val="24"/>
                <w:lang w:eastAsia="ru-RU"/>
              </w:rPr>
              <w:t>107,4%</w:t>
            </w:r>
          </w:p>
        </w:tc>
      </w:tr>
      <w:tr w:rsidR="00D70F69" w:rsidRPr="00D70F69" w:rsidTr="00D70F69">
        <w:trPr>
          <w:cantSplit/>
          <w:trHeight w:val="197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 xml:space="preserve">    в </w:t>
            </w:r>
            <w:proofErr w:type="spellStart"/>
            <w:r w:rsidRPr="00D70F69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D70F69">
              <w:rPr>
                <w:rFonts w:eastAsia="Times New Roman" w:cs="Times New Roman"/>
                <w:szCs w:val="24"/>
                <w:lang w:eastAsia="ru-RU"/>
              </w:rPr>
              <w:t>. фонд заработной платы, млн. рублей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13 424,7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15 242,4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16 156,9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16 385,6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17 126,3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17 614,5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18 153,9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18 935,6</w:t>
            </w:r>
          </w:p>
        </w:tc>
      </w:tr>
      <w:tr w:rsidR="00D70F69" w:rsidRPr="00D70F69" w:rsidTr="00D70F69">
        <w:trPr>
          <w:cantSplit/>
          <w:trHeight w:val="143"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107,4%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113,5%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106,0%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107,5%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106,0%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107,5%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106,0%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107,5%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30,0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30,3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30,6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30,4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30,8</w:t>
            </w:r>
          </w:p>
        </w:tc>
      </w:tr>
      <w:tr w:rsidR="00D70F69" w:rsidRPr="00D70F69" w:rsidTr="00D70F69">
        <w:trPr>
          <w:cantSplit/>
          <w:trHeight w:val="261"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 xml:space="preserve">в % к предыдущему году 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100,7%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100,7%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100,3%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100,7%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100,3%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iCs/>
                <w:szCs w:val="24"/>
                <w:lang w:eastAsia="ru-RU"/>
              </w:rPr>
              <w:t>100,7%</w:t>
            </w:r>
          </w:p>
        </w:tc>
      </w:tr>
      <w:tr w:rsidR="00D70F69" w:rsidRPr="00D70F69" w:rsidTr="00D70F69">
        <w:trPr>
          <w:cantSplit/>
          <w:trHeight w:val="231"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lastRenderedPageBreak/>
              <w:t>Объем продукции сельского хозяйства, млн. рублей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5 259,8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5 276,7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5 486,0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5 507,9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5 824,1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5 861,9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6 222,9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bCs/>
                <w:szCs w:val="24"/>
                <w:lang w:eastAsia="ru-RU"/>
              </w:rPr>
              <w:t>6 303,2</w:t>
            </w:r>
          </w:p>
        </w:tc>
      </w:tr>
      <w:tr w:rsidR="00D70F69" w:rsidRPr="00D70F69" w:rsidTr="00D70F69">
        <w:trPr>
          <w:cantSplit/>
          <w:trHeight w:val="258"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103,3%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96,6%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101,9%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102,3%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102,5%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103,4%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2 951,4</w:t>
            </w:r>
          </w:p>
        </w:tc>
        <w:tc>
          <w:tcPr>
            <w:tcW w:w="1134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2 773,9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2 822,3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2 962,6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2 983,2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3 166,4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3 176,3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3 417,9</w:t>
            </w:r>
          </w:p>
        </w:tc>
      </w:tr>
      <w:tr w:rsidR="00D70F69" w:rsidRPr="00D70F69" w:rsidTr="00D70F69">
        <w:trPr>
          <w:cantSplit/>
          <w:trHeight w:val="179"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 xml:space="preserve">в % к предыдущему году 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166,7%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94,0%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101,7%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106,8%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105,7%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106,9%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106,5%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107,9%</w:t>
            </w:r>
          </w:p>
        </w:tc>
      </w:tr>
      <w:tr w:rsidR="00D70F69" w:rsidRPr="00D70F69" w:rsidTr="00D70F69">
        <w:trPr>
          <w:cantSplit/>
          <w:trHeight w:val="141"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ind w:left="176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158,9%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84,4%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95,0%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101,5%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101,5%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103,0%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млн. рублей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7 291,6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7 772,9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8 262,7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8 287,0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8 780,4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8 836,4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9 331,6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9 429,5</w:t>
            </w:r>
          </w:p>
        </w:tc>
      </w:tr>
      <w:tr w:rsidR="00D70F69" w:rsidRPr="00D70F69" w:rsidTr="00D70F69">
        <w:trPr>
          <w:cantSplit/>
        </w:trPr>
        <w:tc>
          <w:tcPr>
            <w:tcW w:w="4961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val="en-US" w:eastAsia="ru-RU"/>
              </w:rPr>
              <w:t xml:space="preserve">     </w:t>
            </w:r>
            <w:r w:rsidRPr="00D70F69">
              <w:rPr>
                <w:rFonts w:eastAsia="Times New Roman" w:cs="Times New Roman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108,7%</w:t>
            </w:r>
          </w:p>
        </w:tc>
        <w:tc>
          <w:tcPr>
            <w:tcW w:w="1134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106,6%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106,3%</w:t>
            </w:r>
          </w:p>
        </w:tc>
        <w:tc>
          <w:tcPr>
            <w:tcW w:w="1276" w:type="dxa"/>
            <w:shd w:val="clear" w:color="auto" w:fill="auto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106,6%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106,3%</w:t>
            </w:r>
          </w:p>
        </w:tc>
        <w:tc>
          <w:tcPr>
            <w:tcW w:w="1275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106,6%</w:t>
            </w:r>
          </w:p>
        </w:tc>
        <w:tc>
          <w:tcPr>
            <w:tcW w:w="1276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106,3%</w:t>
            </w:r>
          </w:p>
        </w:tc>
        <w:tc>
          <w:tcPr>
            <w:tcW w:w="1418" w:type="dxa"/>
          </w:tcPr>
          <w:p w:rsidR="00D70F69" w:rsidRPr="00D70F69" w:rsidRDefault="00D70F69" w:rsidP="00D70F69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0F69">
              <w:rPr>
                <w:rFonts w:eastAsia="Times New Roman" w:cs="Times New Roman"/>
                <w:szCs w:val="24"/>
                <w:lang w:eastAsia="ru-RU"/>
              </w:rPr>
              <w:t>106,7%</w:t>
            </w:r>
          </w:p>
        </w:tc>
      </w:tr>
    </w:tbl>
    <w:p w:rsidR="00D70F69" w:rsidRDefault="00D70F69" w:rsidP="00D70F69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70F69" w:rsidRDefault="00D70F69" w:rsidP="00D70F69">
      <w:pPr>
        <w:autoSpaceDE w:val="0"/>
        <w:autoSpaceDN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70F69" w:rsidRPr="00D70F69" w:rsidRDefault="00D70F69" w:rsidP="00D70F69">
      <w:pPr>
        <w:autoSpaceDE w:val="0"/>
        <w:autoSpaceDN w:val="0"/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D70F69">
        <w:rPr>
          <w:rFonts w:eastAsia="Times New Roman" w:cs="Times New Roman"/>
          <w:bCs/>
          <w:szCs w:val="24"/>
          <w:lang w:eastAsia="ru-RU"/>
        </w:rPr>
        <w:t xml:space="preserve">Заместитель Главы городского округа </w:t>
      </w:r>
    </w:p>
    <w:p w:rsidR="00D32CB7" w:rsidRPr="00D70F69" w:rsidRDefault="00D70F69" w:rsidP="00D70F69">
      <w:pPr>
        <w:tabs>
          <w:tab w:val="left" w:pos="910"/>
        </w:tabs>
        <w:rPr>
          <w:rFonts w:eastAsia="Times New Roman" w:cs="Times New Roman"/>
          <w:szCs w:val="24"/>
          <w:lang w:eastAsia="ru-RU"/>
        </w:rPr>
      </w:pPr>
      <w:r w:rsidRPr="00D70F69">
        <w:rPr>
          <w:rFonts w:eastAsia="Times New Roman" w:cs="Times New Roman"/>
          <w:bCs/>
          <w:szCs w:val="24"/>
          <w:lang w:eastAsia="ru-RU"/>
        </w:rPr>
        <w:t>по финансам, экономике и инвестиционной политики</w:t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 w:rsidRPr="00D70F69"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/>
        </w:rPr>
        <w:tab/>
        <w:t xml:space="preserve">            О.М.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Пескова</w:t>
      </w:r>
      <w:proofErr w:type="spellEnd"/>
    </w:p>
    <w:sectPr w:rsidR="00D32CB7" w:rsidRPr="00D70F69" w:rsidSect="00D70F69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7"/>
    <w:rsid w:val="00031C4F"/>
    <w:rsid w:val="00076CBA"/>
    <w:rsid w:val="000A6498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264C75"/>
    <w:rsid w:val="00280238"/>
    <w:rsid w:val="002858F0"/>
    <w:rsid w:val="0028700E"/>
    <w:rsid w:val="002B78F1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C16A7"/>
    <w:rsid w:val="003D1FFB"/>
    <w:rsid w:val="003E03CF"/>
    <w:rsid w:val="003E53D1"/>
    <w:rsid w:val="003E5BD4"/>
    <w:rsid w:val="00417564"/>
    <w:rsid w:val="00442A8D"/>
    <w:rsid w:val="004565E2"/>
    <w:rsid w:val="004663E1"/>
    <w:rsid w:val="0049012C"/>
    <w:rsid w:val="004B1A0F"/>
    <w:rsid w:val="004E1F2F"/>
    <w:rsid w:val="00502976"/>
    <w:rsid w:val="0051374E"/>
    <w:rsid w:val="00522357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9560F"/>
    <w:rsid w:val="009A4302"/>
    <w:rsid w:val="009A7B7B"/>
    <w:rsid w:val="009D4417"/>
    <w:rsid w:val="009F4611"/>
    <w:rsid w:val="00A03A52"/>
    <w:rsid w:val="00A17AB8"/>
    <w:rsid w:val="00A203EA"/>
    <w:rsid w:val="00AA6A32"/>
    <w:rsid w:val="00AD0E6F"/>
    <w:rsid w:val="00AD0ED4"/>
    <w:rsid w:val="00B15222"/>
    <w:rsid w:val="00B3553D"/>
    <w:rsid w:val="00BA0ACF"/>
    <w:rsid w:val="00C1678D"/>
    <w:rsid w:val="00C444CD"/>
    <w:rsid w:val="00CC5F56"/>
    <w:rsid w:val="00D05EC1"/>
    <w:rsid w:val="00D107AD"/>
    <w:rsid w:val="00D17EE7"/>
    <w:rsid w:val="00D26588"/>
    <w:rsid w:val="00D32CB7"/>
    <w:rsid w:val="00D70F69"/>
    <w:rsid w:val="00D9268C"/>
    <w:rsid w:val="00DC1964"/>
    <w:rsid w:val="00DD1D49"/>
    <w:rsid w:val="00E227C4"/>
    <w:rsid w:val="00E314A5"/>
    <w:rsid w:val="00E33F50"/>
    <w:rsid w:val="00E431A6"/>
    <w:rsid w:val="00E65741"/>
    <w:rsid w:val="00E86D77"/>
    <w:rsid w:val="00EF1C9B"/>
    <w:rsid w:val="00F14630"/>
    <w:rsid w:val="00F56E03"/>
    <w:rsid w:val="00FB2477"/>
    <w:rsid w:val="00FC2F86"/>
    <w:rsid w:val="00FC66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D234"/>
  <w15:docId w15:val="{49C82E0F-56D1-4812-9753-006772A0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B7"/>
    <w:pPr>
      <w:ind w:left="720"/>
      <w:contextualSpacing/>
    </w:pPr>
  </w:style>
  <w:style w:type="table" w:styleId="a4">
    <w:name w:val="Table Grid"/>
    <w:basedOn w:val="a1"/>
    <w:uiPriority w:val="59"/>
    <w:rsid w:val="00D32C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7B4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72EC-7672-42F6-A061-BCB6A4ED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Протасова Вера Александровна</cp:lastModifiedBy>
  <cp:revision>17</cp:revision>
  <cp:lastPrinted>2022-08-29T04:41:00Z</cp:lastPrinted>
  <dcterms:created xsi:type="dcterms:W3CDTF">2018-08-22T03:58:00Z</dcterms:created>
  <dcterms:modified xsi:type="dcterms:W3CDTF">2022-08-29T08:41:00Z</dcterms:modified>
</cp:coreProperties>
</file>