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Приложение 1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к распоряжению </w:t>
      </w:r>
      <w:proofErr w:type="gramStart"/>
      <w:r>
        <w:rPr>
          <w:rFonts w:ascii="Times New Roman" w:eastAsia="Times New Roman" w:hAnsi="Times New Roman" w:cs="Times New Roman"/>
          <w:color w:val="000000"/>
          <w:highlight w:val="white"/>
        </w:rPr>
        <w:t>исполнительного</w:t>
      </w:r>
      <w:proofErr w:type="gramEnd"/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директора Ассоциации </w:t>
      </w:r>
      <w:proofErr w:type="gramStart"/>
      <w:r>
        <w:rPr>
          <w:rFonts w:ascii="Times New Roman" w:eastAsia="Times New Roman" w:hAnsi="Times New Roman" w:cs="Times New Roman"/>
        </w:rPr>
        <w:t>территориальных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общественных самоуправлений Челябинской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от </w:t>
      </w:r>
      <w:r>
        <w:rPr>
          <w:rFonts w:ascii="Times New Roman" w:eastAsia="Times New Roman" w:hAnsi="Times New Roman" w:cs="Times New Roman"/>
          <w:highlight w:val="white"/>
        </w:rPr>
        <w:t>5</w:t>
      </w:r>
      <w:r>
        <w:rPr>
          <w:rFonts w:ascii="Times New Roman" w:eastAsia="Times New Roman" w:hAnsi="Times New Roman" w:cs="Times New Roman"/>
          <w:color w:val="000000"/>
          <w:highlight w:val="white"/>
        </w:rPr>
        <w:t>.02.202</w:t>
      </w:r>
      <w:r>
        <w:rPr>
          <w:rFonts w:ascii="Times New Roman" w:eastAsia="Times New Roman" w:hAnsi="Times New Roman" w:cs="Times New Roman"/>
          <w:highlight w:val="white"/>
        </w:rPr>
        <w:t>3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года № </w:t>
      </w:r>
      <w:r>
        <w:rPr>
          <w:rFonts w:ascii="Times New Roman" w:eastAsia="Times New Roman" w:hAnsi="Times New Roman" w:cs="Times New Roman"/>
          <w:highlight w:val="white"/>
        </w:rPr>
        <w:t>7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«О проведении регионал</w:t>
      </w:r>
      <w:r>
        <w:rPr>
          <w:rFonts w:ascii="Times New Roman" w:eastAsia="Times New Roman" w:hAnsi="Times New Roman" w:cs="Times New Roman"/>
          <w:highlight w:val="white"/>
        </w:rPr>
        <w:t>ьного этапа Всероссийского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конкурса «Лучшая практика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территориального общественного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самоуправления»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highlight w:val="white"/>
        </w:rPr>
      </w:pP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Положение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 проведении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регионального этапа Всероссийского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конкурса «Лучшая практика территориального общественного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самоуправления» 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026" w:rsidRDefault="00E825E4" w:rsidP="00E825E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140"/>
        </w:tabs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1.1. Настоящее </w:t>
      </w:r>
      <w:r>
        <w:rPr>
          <w:rFonts w:ascii="Times New Roman" w:eastAsia="Times New Roman" w:hAnsi="Times New Roman" w:cs="Times New Roman"/>
          <w:sz w:val="28"/>
          <w:szCs w:val="28"/>
        </w:rPr>
        <w:t>Положение определяет порядок организации, проведения и подведения итогов регионального этапа Всероссийского конкурса «Лучшая практика территориального общественного самоуправления» (далее – Конкурс).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Конкурс проводится Ассоци</w:t>
      </w:r>
      <w:r>
        <w:rPr>
          <w:rFonts w:ascii="Times New Roman" w:eastAsia="Times New Roman" w:hAnsi="Times New Roman" w:cs="Times New Roman"/>
          <w:sz w:val="28"/>
          <w:szCs w:val="28"/>
        </w:rPr>
        <w:t>ацией территориальных общественных самоуправлений Челябинской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стимулирования деловой и социальной активности населения при осуществлении собственных инициатив по решению вопросов местного значения на территории региона и поощрения активных руководителей и членов территориальных общественных самоуправлений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1.2. Основные задачи Конкурса:</w:t>
      </w:r>
    </w:p>
    <w:p w:rsidR="00D15026" w:rsidRDefault="00E82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1" w:hanging="3"/>
        <w:jc w:val="both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выявление и поощрение активных руководителей и членов территориального общественного самоуправления (далее – ТОС)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области;</w:t>
      </w:r>
    </w:p>
    <w:p w:rsidR="00D15026" w:rsidRDefault="00E82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5"/>
        </w:tabs>
        <w:spacing w:line="240" w:lineRule="auto"/>
        <w:ind w:left="1" w:hanging="3"/>
        <w:jc w:val="both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положительного образа инициативного гражданина, побуждающего собственным примером других людей к социально значимой деятельности;</w:t>
      </w:r>
    </w:p>
    <w:p w:rsidR="00D15026" w:rsidRDefault="00E82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1" w:hanging="3"/>
        <w:jc w:val="both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освещение деятельности органов ТОС в средствах массовой информации с целью распространения передового опыта ТОС;</w:t>
      </w:r>
    </w:p>
    <w:p w:rsidR="00D15026" w:rsidRDefault="00E82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1" w:hanging="3"/>
        <w:jc w:val="both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раскрытие творческого потенциала руководителей и членов органов территориального общественного самоуправления;</w:t>
      </w:r>
    </w:p>
    <w:p w:rsidR="00D15026" w:rsidRDefault="00E825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механизма поддержки инициатив граждан по вопросам местного значения и поощрения ТОС.</w:t>
      </w:r>
    </w:p>
    <w:p w:rsidR="00D15026" w:rsidRDefault="00E825E4" w:rsidP="00E825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проводится при поддержке Управления по внутренней политике Правительства Челябинской области, Совета муниципальных образований Челябинской области. </w:t>
      </w:r>
    </w:p>
    <w:p w:rsidR="00D15026" w:rsidRDefault="00D15026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026" w:rsidRDefault="00D15026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026" w:rsidRDefault="00D15026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026" w:rsidRDefault="00D15026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Порядок проведения Конкурса и условия участия в номинациях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Конкурс проводится с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февраля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года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среди ТОС, которые зарегистрированы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области.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Участники Конкурса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7 марта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(включительно) направляют на адрес электронной почты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atos-74@bk.ru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конкурсные материалы: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 заявку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электронном виде) согласно приложению №1 к настоящему Положению;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6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презентацию (не обязательно)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Microsoft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Power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Point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ppt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pptx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объемом не более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слайдов.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Конкурсные материалы, поступившие по истечении указанного срока, конкурсной комиссией не рассматриваются.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Конкурсная комиссия рассматривает заявки, в которых представлена деятельность активистов ТОС за 2022 год.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5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Конкурс проводится по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восьми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номинациям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2.4.1.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Благоустройство и экология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(практики (проекты) по организации и проведению благоустройства дворовой территории, общественных пространств (парков, скверов, объектов культурного наследия местного значения), организация и проведение субботников, акций по уборке мусора и сбора макулатуры, пластика, металлолома и т.д.);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2.4.2.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Формирование здорового образа жизни, физическая культура и спорт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(практики (проекты) по организации и проведению спортивных мероприятий, соревнований, марафонов, организация спортивных дворовых секций);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2.4.3.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Местные художественные промыслы, культурные инициативы, развитие туризма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(практики (проекты) по организации и проведению культурных мероприятий, приуроченных к празднованию государственных праздников, памятным датам, организация гостевых домов, местных музеев, организация ремесленных мастерских, творческих досуговых клубов и студий);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2.4.4.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Социальная поддержка населения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(практики (проекты) по организации поддержки многодетных семей, малообеспеченных и социально незащищённых граждан, адресная поддержка указанных категорий граждан, организация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ФАПов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социальных пекарен, социальной телефонной службы и т.д.);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2.4.5.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Комплексное развитие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(практики (проекты) направленные на решение вопросов в нескольких направлениях деятельности, проекты, включающие мероприятия, реализованные в нескольких номинациях);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2.4.6.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Межпоколенческие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связи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(практики (проекты) по организации передачи опыта одного поколения и принятию этого опыта другим поколением, мероприятия, направленные на сохранение и укрепление традиционных ценностей);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2.4.7.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Укрепляем мир общинами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(практики (проекты) по организации и проведению мероприятий приуроченных к международному Дню соседей, установление и развитие контактов с местными сообществами из зарубежных стран, реализация и участие в международных проектах и программах);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2.4.8.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Лучший руководитель ТОС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(руководители ТО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), осуществляющие социальную деятельность на территории ТОС.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56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Оценка заявок осуществляется по 5-и бальной системе в соответствии со следующими критериями:</w:t>
      </w:r>
    </w:p>
    <w:tbl>
      <w:tblPr>
        <w:tblStyle w:val="af9"/>
        <w:tblW w:w="98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3"/>
        <w:gridCol w:w="8947"/>
      </w:tblGrid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Наименование критерия</w:t>
            </w:r>
          </w:p>
        </w:tc>
      </w:tr>
      <w:tr w:rsidR="00D15026">
        <w:tc>
          <w:tcPr>
            <w:tcW w:w="9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Для номинаций, указанных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пункта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2.4.1.-2.4.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настоящего Положения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Доля жителей, вовлеченных в деятельность ТОС при реализации практики (проекта).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Количество человек, проживающих в границах ТОС, которые пользуются результатами проекта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благополучатели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Количество реализованных практик (проектов) и инициатив ТОС за предыдущие годы.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Обоснованность и актуальность проблемы, на решение которой направлен проект.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Финансовая эффективность проекта (доля привлеченных средств и результаты реализованной практики (проекта) на одного члена ТОС. </w:t>
            </w:r>
            <w:proofErr w:type="gramEnd"/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Привлечение внебюджетных средств на осуществление практики (проекта) ТОС, объемы привлеченного внебюджетного финансирования на одного члена ТОС.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Использование механизмов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волонтерства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(привлечение жителей территории, на которой осуществляется проект, к выполнению определенного перечня работ на безвозмездной основе).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Использование механизмов социального партнерства (взаимодействие с органами государственной власти, органами местного самоуправления муниципальных образований, организациями и учреждениями, действующими на территории осуществления проекта).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Количество проведенных собраний (советов, конференций, заседаний органов ТОС),</w:t>
            </w:r>
            <w:r>
              <w:rPr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регламентирующих деятельность в рамках реализации практики (проекта).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Освещение информации о деятельности и достижениях ТОС в средствах массовой информации, в том числе в официальных группах (чатах) популярных социальных сетей.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деятельности ТОС по сохранению исторического и культурного наследия, народных традиций, развитию туризма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Ремонт/восстановление памятников и обелисков, прилегающих к ним территорий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добровольных дружин и поисковых отрядов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социальной рекламы 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Дополнительно для номинации «Лучший руководитель ТОС»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Участие руководителя ТОС в конференциях, заседаниях, семинарах, круглых столах, проводимых органами местного самоуправления.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Наличие положительных отзывов жителей, юридических лиц, в том числе некоммерческих организаций, или индивидуальных предпринимателей, осуществляющих деятельность по управлению многоквартирным домом, депутатов МО, органов местного самоуправления о работе ТОС.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Количество проведенных заседаний Совета (Комитета) ТОС, собраний, конференций участников ТОС за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год.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Реализованные предложения, внесенные органами ТОС в органы местного самоуправления муниципального образования.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Награды, полученные за вклад в развитие движения ТОС (грамоты и благодарственные письма всех уровней власти).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Партнерство и взаимодействие ТОС с субъектами МСП, НКО, управляющими компаниями.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Участие ТОС в проектной деятельности.</w:t>
            </w:r>
          </w:p>
        </w:tc>
      </w:tr>
      <w:tr w:rsidR="00D15026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D1502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026" w:rsidRDefault="00E825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Работа со средствами массовой информации: наличие статей, публикаций о деятельности ТОС.</w:t>
            </w:r>
          </w:p>
        </w:tc>
      </w:tr>
    </w:tbl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 конкурса</w:t>
      </w:r>
    </w:p>
    <w:p w:rsidR="00D15026" w:rsidRDefault="00D15026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15026" w:rsidRDefault="00E825E4">
      <w:pPr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В конкурсе участвуют представители органов ТОС Челябинской области, члены Общенациональной ассоциации ТОС, (члены региональных ассоциаций, координаторов ТОС), соответствующие всем следующим требованиям: 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3.1.1. Зарегистрированные на территории Челябинской области не позднее, чем за один год до дня окончания приема заявок на участие в конкурсе. 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3.1.2. Не имеющие задолженности по уплате членских взносов в ОАТОС (или ассоциацию ТОС субъекта Российской Федерации).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3.1.3. 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законодательством. 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3.1.4. ТОС должен быть создан в соответствии с Федеральным законом от 06.10.2003г. № 131-ФЗ «Об общих принципах организации местного самоуправления в Российской Федерации». </w:t>
      </w:r>
    </w:p>
    <w:p w:rsidR="00D15026" w:rsidRDefault="00E825E4" w:rsidP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3.1.5. Самостоятельно осуществлять на соответствующей территории общественно-полезную деятельность, которая по своему содержанию и результатам соответствует направлениям конкурса.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-25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Конкурсная комиссия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Организацию, проведение и подведение итогов Конкурса осуществляет конкурсная комиссия, состав которой утверждается распоряжением исполнительного директора Ассоциации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общественных самоуправлений Челябинской области.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4.2. Конкурсная комиссия состоит из 5 членов, включая председателя конкурсной комиссии (Приложение № 2 к распоряжению исполнительного директора).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Заседание конкурсной комиссии проводит председатель конкурсной комиссии.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Конкурсная комиссия проводит:</w:t>
      </w:r>
    </w:p>
    <w:p w:rsidR="00D15026" w:rsidRDefault="00E82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40" w:lineRule="auto"/>
        <w:ind w:left="1" w:hanging="3"/>
        <w:jc w:val="both"/>
        <w:rPr>
          <w:rFonts w:ascii="Noto Sans Symbols" w:eastAsia="Noto Sans Symbols" w:hAnsi="Noto Sans Symbols" w:cs="Noto Sans Symbol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 рассмотрение конкурсных материалов от участников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Конкурса;</w:t>
      </w:r>
    </w:p>
    <w:p w:rsidR="00D15026" w:rsidRDefault="00E82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оценку конкурсных материалов, представленных на Конкурс по критериям, указанных в п. 2.5. настоящего Положения;</w:t>
      </w:r>
    </w:p>
    <w:p w:rsidR="00D15026" w:rsidRDefault="00E825E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40" w:lineRule="auto"/>
        <w:ind w:left="1" w:hanging="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итогов Конкурса.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Конкурсная комиссия имеет право запрашивать от участников Конкурса дополнительную информацию в целях уточнения полученных от них сведени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содержащихся в конкурсных материалах.</w:t>
      </w:r>
    </w:p>
    <w:p w:rsidR="00D15026" w:rsidRDefault="00D1502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Подведение итогов Конкурса и награждение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Итоги Конкурса подводятся конкурсной комиссией до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марта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(включительно).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Решение конкурсной комиссии об определении победителей в номинации Конкурса принимается простым большинством голосов присутствующих на заседании членов конкурсной комиссии.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Победители Конкурса награждаются дипломами и (или) ценными подарками.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Количество призовых мест в каждой номинации определяется конкурсной комиссией на итоговом заседании.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0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6. Контактная информация</w:t>
      </w:r>
    </w:p>
    <w:p w:rsidR="00D15026" w:rsidRDefault="00E825E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right="20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Любые вопросы, касающиеся условий проведений Конкурса, конкурсной документации, технических требований к работе участника и другие, могут направляться участниками Конкурса в Ассоциацию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территориальных общественных самоуправлений Челябинской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адресу: г. </w:t>
      </w:r>
      <w:r>
        <w:rPr>
          <w:rFonts w:ascii="Times New Roman" w:eastAsia="Times New Roman" w:hAnsi="Times New Roman" w:cs="Times New Roman"/>
          <w:sz w:val="28"/>
          <w:szCs w:val="28"/>
        </w:rPr>
        <w:t>Челябинск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r>
        <w:rPr>
          <w:rFonts w:ascii="Times New Roman" w:eastAsia="Times New Roman" w:hAnsi="Times New Roman" w:cs="Times New Roman"/>
          <w:sz w:val="28"/>
          <w:szCs w:val="28"/>
        </w:rPr>
        <w:t>Сони Кривой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д.75, оф. 108 (контактный номер телефона – 8 (</w:t>
      </w:r>
      <w:r>
        <w:rPr>
          <w:rFonts w:ascii="Times New Roman" w:eastAsia="Times New Roman" w:hAnsi="Times New Roman" w:cs="Times New Roman"/>
          <w:sz w:val="28"/>
          <w:szCs w:val="28"/>
        </w:rPr>
        <w:t>908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>082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-72, а также по электронному адресу: atos-74@bk.ru).</w:t>
      </w:r>
      <w:r>
        <w:rPr>
          <w:color w:val="000000"/>
        </w:rPr>
        <w:t xml:space="preserve"> </w:t>
      </w:r>
      <w:proofErr w:type="gramEnd"/>
    </w:p>
    <w:sectPr w:rsidR="00D15026">
      <w:pgSz w:w="11900" w:h="16838"/>
      <w:pgMar w:top="1123" w:right="846" w:bottom="156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6DE"/>
    <w:multiLevelType w:val="multilevel"/>
    <w:tmpl w:val="4A26222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>
    <w:nsid w:val="119A051E"/>
    <w:multiLevelType w:val="multilevel"/>
    <w:tmpl w:val="03088D08"/>
    <w:lvl w:ilvl="0">
      <w:start w:val="1"/>
      <w:numFmt w:val="decimal"/>
      <w:lvlText w:val="%1."/>
      <w:lvlJc w:val="left"/>
      <w:pPr>
        <w:ind w:left="361" w:hanging="360"/>
      </w:pPr>
      <w:rPr>
        <w:b/>
      </w:rPr>
    </w:lvl>
    <w:lvl w:ilvl="1">
      <w:start w:val="3"/>
      <w:numFmt w:val="decimal"/>
      <w:lvlText w:val="%1.%2."/>
      <w:lvlJc w:val="left"/>
      <w:pPr>
        <w:ind w:left="526" w:hanging="525"/>
      </w:pPr>
    </w:lvl>
    <w:lvl w:ilvl="2">
      <w:start w:val="1"/>
      <w:numFmt w:val="decimal"/>
      <w:lvlText w:val="%1.%2.%3."/>
      <w:lvlJc w:val="left"/>
      <w:pPr>
        <w:ind w:left="721" w:hanging="720"/>
      </w:pPr>
    </w:lvl>
    <w:lvl w:ilvl="3">
      <w:start w:val="1"/>
      <w:numFmt w:val="decimal"/>
      <w:lvlText w:val="%1.%2.%3.%4."/>
      <w:lvlJc w:val="left"/>
      <w:pPr>
        <w:ind w:left="721" w:hanging="720"/>
      </w:pPr>
    </w:lvl>
    <w:lvl w:ilvl="4">
      <w:start w:val="1"/>
      <w:numFmt w:val="decimal"/>
      <w:lvlText w:val="%1.%2.%3.%4.%5."/>
      <w:lvlJc w:val="left"/>
      <w:pPr>
        <w:ind w:left="1081" w:hanging="1080"/>
      </w:pPr>
    </w:lvl>
    <w:lvl w:ilvl="5">
      <w:start w:val="1"/>
      <w:numFmt w:val="decimal"/>
      <w:lvlText w:val="%1.%2.%3.%4.%5.%6."/>
      <w:lvlJc w:val="left"/>
      <w:pPr>
        <w:ind w:left="1081" w:hanging="1080"/>
      </w:pPr>
    </w:lvl>
    <w:lvl w:ilvl="6">
      <w:start w:val="1"/>
      <w:numFmt w:val="decimal"/>
      <w:lvlText w:val="%1.%2.%3.%4.%5.%6.%7."/>
      <w:lvlJc w:val="left"/>
      <w:pPr>
        <w:ind w:left="1441" w:hanging="1440"/>
      </w:pPr>
    </w:lvl>
    <w:lvl w:ilvl="7">
      <w:start w:val="1"/>
      <w:numFmt w:val="decimal"/>
      <w:lvlText w:val="%1.%2.%3.%4.%5.%6.%7.%8."/>
      <w:lvlJc w:val="left"/>
      <w:pPr>
        <w:ind w:left="1441" w:hanging="1440"/>
      </w:pPr>
    </w:lvl>
    <w:lvl w:ilvl="8">
      <w:start w:val="1"/>
      <w:numFmt w:val="decimal"/>
      <w:lvlText w:val="%1.%2.%3.%4.%5.%6.%7.%8.%9."/>
      <w:lvlJc w:val="left"/>
      <w:pPr>
        <w:ind w:left="1801" w:hanging="1800"/>
      </w:pPr>
    </w:lvl>
  </w:abstractNum>
  <w:abstractNum w:abstractNumId="2">
    <w:nsid w:val="6B184C57"/>
    <w:multiLevelType w:val="multilevel"/>
    <w:tmpl w:val="CD6E68F0"/>
    <w:lvl w:ilvl="0">
      <w:start w:val="1"/>
      <w:numFmt w:val="bullet"/>
      <w:lvlText w:val="−"/>
      <w:lvlJc w:val="left"/>
      <w:pPr>
        <w:ind w:left="141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2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701811CA"/>
    <w:multiLevelType w:val="multilevel"/>
    <w:tmpl w:val="4754B73A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15026"/>
    <w:rsid w:val="00913BAF"/>
    <w:rsid w:val="00917B09"/>
    <w:rsid w:val="00D15026"/>
    <w:rsid w:val="00E8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rsid w:val="00917F7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17F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17F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17F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17F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17F7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17F7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17F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917F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917F78"/>
    <w:tblPr>
      <w:tblStyleRowBandSize w:val="1"/>
      <w:tblStyleColBandSize w:val="1"/>
    </w:tblPr>
  </w:style>
  <w:style w:type="table" w:customStyle="1" w:styleId="af">
    <w:basedOn w:val="TableNormal1"/>
    <w:rsid w:val="00917F78"/>
    <w:tblPr>
      <w:tblStyleRowBandSize w:val="1"/>
      <w:tblStyleColBandSize w:val="1"/>
    </w:tblPr>
  </w:style>
  <w:style w:type="paragraph" w:styleId="af0">
    <w:name w:val="List Paragraph"/>
    <w:basedOn w:val="a"/>
    <w:rsid w:val="00917F78"/>
    <w:pPr>
      <w:ind w:left="720"/>
      <w:contextualSpacing/>
    </w:pPr>
  </w:style>
  <w:style w:type="character" w:styleId="af1">
    <w:name w:val="Hyperlink"/>
    <w:qFormat/>
    <w:rsid w:val="00917F7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2">
    <w:name w:val="Абзац списка Знак"/>
    <w:rsid w:val="00917F78"/>
    <w:rPr>
      <w:w w:val="100"/>
      <w:position w:val="-1"/>
      <w:effect w:val="none"/>
      <w:vertAlign w:val="baseline"/>
      <w:cs w:val="0"/>
      <w:em w:val="none"/>
    </w:rPr>
  </w:style>
  <w:style w:type="table" w:styleId="af3">
    <w:name w:val="Table Grid"/>
    <w:basedOn w:val="a1"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qFormat/>
    <w:rsid w:val="00917F7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rsid w:val="00917F78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f6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1">
    <w:name w:val="heading 1"/>
    <w:basedOn w:val="a"/>
    <w:next w:val="a"/>
    <w:uiPriority w:val="9"/>
    <w:qFormat/>
    <w:rsid w:val="00917F78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917F7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917F7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917F7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917F7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917F7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917F7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917F7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917F7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rsid w:val="00917F7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rsid w:val="00917F78"/>
    <w:tblPr>
      <w:tblStyleRowBandSize w:val="1"/>
      <w:tblStyleColBandSize w:val="1"/>
    </w:tblPr>
  </w:style>
  <w:style w:type="table" w:customStyle="1" w:styleId="af">
    <w:basedOn w:val="TableNormal1"/>
    <w:rsid w:val="00917F78"/>
    <w:tblPr>
      <w:tblStyleRowBandSize w:val="1"/>
      <w:tblStyleColBandSize w:val="1"/>
    </w:tblPr>
  </w:style>
  <w:style w:type="paragraph" w:styleId="af0">
    <w:name w:val="List Paragraph"/>
    <w:basedOn w:val="a"/>
    <w:rsid w:val="00917F78"/>
    <w:pPr>
      <w:ind w:left="720"/>
      <w:contextualSpacing/>
    </w:pPr>
  </w:style>
  <w:style w:type="character" w:styleId="af1">
    <w:name w:val="Hyperlink"/>
    <w:qFormat/>
    <w:rsid w:val="00917F78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2">
    <w:name w:val="Абзац списка Знак"/>
    <w:rsid w:val="00917F78"/>
    <w:rPr>
      <w:w w:val="100"/>
      <w:position w:val="-1"/>
      <w:effect w:val="none"/>
      <w:vertAlign w:val="baseline"/>
      <w:cs w:val="0"/>
      <w:em w:val="none"/>
    </w:rPr>
  </w:style>
  <w:style w:type="table" w:styleId="af3">
    <w:name w:val="Table Grid"/>
    <w:basedOn w:val="a1"/>
    <w:rsid w:val="00917F78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qFormat/>
    <w:rsid w:val="00917F7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rsid w:val="00917F78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f6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1"/>
    <w:rsid w:val="00917F7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gBlLaMhUhEZ8Q+YtrlRGRjdMwJw==">AMUW2mXdPfC4ubbEpL+BeVMUcPcPC8EAyjFYnrQjd2zXmFoPumDeIPjf3u5NqFTqDGnAvzmEpe3faFPooz0FF92K9bM6VDkksYBmMaoECm3bTaTpSaUV5HmvND/6Bk5CQv6jUsspn5zm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Big_Boss</dc:creator>
  <cp:lastModifiedBy>Желтова Лилия Фасхутдиновна</cp:lastModifiedBy>
  <cp:revision>3</cp:revision>
  <cp:lastPrinted>2023-02-14T04:54:00Z</cp:lastPrinted>
  <dcterms:created xsi:type="dcterms:W3CDTF">2023-02-13T11:47:00Z</dcterms:created>
  <dcterms:modified xsi:type="dcterms:W3CDTF">2023-02-14T04:54:00Z</dcterms:modified>
</cp:coreProperties>
</file>